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26D4F" w14:textId="77777777" w:rsidR="00B5059A" w:rsidRDefault="00000000">
      <w:pPr>
        <w:spacing w:line="360" w:lineRule="auto"/>
        <w:rPr>
          <w:rFonts w:ascii="Times New Roman" w:eastAsia="SimSun" w:hAnsi="Times New Roman" w:cs="Times New Roman"/>
          <w:b/>
          <w:bCs/>
          <w:sz w:val="28"/>
          <w:szCs w:val="28"/>
        </w:rPr>
      </w:pPr>
      <w:r>
        <w:rPr>
          <w:rFonts w:ascii="Times New Roman" w:eastAsia="SimSun" w:hAnsi="Times New Roman" w:cs="Times New Roman"/>
          <w:b/>
          <w:bCs/>
          <w:sz w:val="28"/>
          <w:szCs w:val="28"/>
        </w:rPr>
        <w:t>Chapter 1</w:t>
      </w:r>
    </w:p>
    <w:p w14:paraId="764ED1F0" w14:textId="77777777" w:rsidR="00B5059A" w:rsidRDefault="00000000">
      <w:pPr>
        <w:spacing w:line="360" w:lineRule="auto"/>
        <w:rPr>
          <w:rFonts w:ascii="Times New Roman" w:eastAsia="SimSun" w:hAnsi="Times New Roman" w:cs="Times New Roman"/>
          <w:b/>
          <w:bCs/>
          <w:sz w:val="24"/>
        </w:rPr>
      </w:pPr>
      <w:r>
        <w:rPr>
          <w:rFonts w:ascii="Times New Roman" w:eastAsia="SimSun" w:hAnsi="Times New Roman" w:cs="Times New Roman"/>
          <w:b/>
          <w:bCs/>
          <w:sz w:val="24"/>
        </w:rPr>
        <w:t xml:space="preserve">Introduction </w:t>
      </w:r>
    </w:p>
    <w:p w14:paraId="48D8D062" w14:textId="77777777" w:rsidR="00B5059A" w:rsidRDefault="00B5059A">
      <w:pPr>
        <w:spacing w:line="360" w:lineRule="auto"/>
        <w:rPr>
          <w:rFonts w:ascii="Times New Roman" w:eastAsia="SimSun" w:hAnsi="Times New Roman" w:cs="Times New Roman"/>
          <w:sz w:val="24"/>
        </w:rPr>
      </w:pPr>
    </w:p>
    <w:p w14:paraId="7FE94294" w14:textId="289E8AFA" w:rsidR="00B5059A" w:rsidRDefault="00000000">
      <w:pPr>
        <w:spacing w:line="360" w:lineRule="auto"/>
        <w:rPr>
          <w:rFonts w:ascii="Times New Roman" w:eastAsia="SimSun" w:hAnsi="Times New Roman" w:cs="Times New Roman"/>
          <w:sz w:val="24"/>
        </w:rPr>
      </w:pPr>
      <w:r>
        <w:rPr>
          <w:rFonts w:ascii="Times New Roman" w:eastAsia="SimSun" w:hAnsi="Times New Roman" w:cs="Times New Roman"/>
          <w:sz w:val="24"/>
        </w:rPr>
        <w:t>Runming Yao</w:t>
      </w:r>
    </w:p>
    <w:p w14:paraId="32AC2B6A" w14:textId="77777777" w:rsidR="00B5059A" w:rsidRDefault="00000000">
      <w:pPr>
        <w:spacing w:line="360" w:lineRule="auto"/>
        <w:rPr>
          <w:rFonts w:ascii="Times New Roman" w:eastAsia="SimSun" w:hAnsi="Times New Roman" w:cs="Times New Roman"/>
          <w:sz w:val="24"/>
        </w:rPr>
      </w:pPr>
      <w:r>
        <w:rPr>
          <w:rFonts w:ascii="Times New Roman" w:eastAsia="SimSun" w:hAnsi="Times New Roman" w:cs="Times New Roman"/>
          <w:sz w:val="24"/>
        </w:rPr>
        <w:t>School of Civil Engineering, Chongqing University, China</w:t>
      </w:r>
    </w:p>
    <w:p w14:paraId="120A60E5" w14:textId="77777777" w:rsidR="00B5059A" w:rsidRDefault="00000000">
      <w:pPr>
        <w:spacing w:line="360" w:lineRule="auto"/>
        <w:rPr>
          <w:rFonts w:ascii="Times New Roman" w:eastAsia="SimSun" w:hAnsi="Times New Roman" w:cs="Times New Roman"/>
          <w:sz w:val="24"/>
        </w:rPr>
      </w:pPr>
      <w:r>
        <w:rPr>
          <w:rFonts w:ascii="Times New Roman" w:eastAsia="SimSun" w:hAnsi="Times New Roman" w:cs="Times New Roman"/>
          <w:sz w:val="24"/>
        </w:rPr>
        <w:t>School of the Built Environment, University of Reading, UK</w:t>
      </w:r>
    </w:p>
    <w:p w14:paraId="3333ED6F" w14:textId="77777777" w:rsidR="00B5059A" w:rsidRDefault="00000000">
      <w:pPr>
        <w:spacing w:line="360" w:lineRule="auto"/>
        <w:rPr>
          <w:rFonts w:ascii="Times New Roman" w:eastAsia="SimSun" w:hAnsi="Times New Roman" w:cs="Times New Roman"/>
          <w:sz w:val="24"/>
        </w:rPr>
      </w:pPr>
      <w:r>
        <w:rPr>
          <w:rFonts w:ascii="Times New Roman" w:eastAsia="SimSun" w:hAnsi="Times New Roman" w:cs="Times New Roman"/>
          <w:sz w:val="24"/>
        </w:rPr>
        <w:t>Emails: r.yao@cqu.edu.cn/r.yao@reading.ac.uk</w:t>
      </w:r>
    </w:p>
    <w:p w14:paraId="6A2896A9" w14:textId="77777777" w:rsidR="00B5059A" w:rsidRDefault="00B5059A">
      <w:pPr>
        <w:spacing w:line="360" w:lineRule="auto"/>
        <w:rPr>
          <w:rFonts w:ascii="Times New Roman" w:eastAsia="SimSun" w:hAnsi="Times New Roman" w:cs="Times New Roman"/>
          <w:sz w:val="24"/>
        </w:rPr>
      </w:pPr>
    </w:p>
    <w:p w14:paraId="3228BB58" w14:textId="77777777" w:rsidR="00B5059A" w:rsidRDefault="00000000">
      <w:pPr>
        <w:spacing w:line="360" w:lineRule="auto"/>
        <w:rPr>
          <w:rFonts w:ascii="Times New Roman" w:eastAsia="SimSun" w:hAnsi="Times New Roman" w:cs="Times New Roman"/>
          <w:b/>
          <w:bCs/>
          <w:sz w:val="24"/>
        </w:rPr>
      </w:pPr>
      <w:r>
        <w:rPr>
          <w:rFonts w:ascii="Times New Roman" w:eastAsia="SimSun" w:hAnsi="Times New Roman" w:cs="Times New Roman"/>
          <w:b/>
          <w:bCs/>
          <w:sz w:val="24"/>
        </w:rPr>
        <w:t>Abstract</w:t>
      </w:r>
    </w:p>
    <w:p w14:paraId="5FA7F2A9" w14:textId="77777777" w:rsidR="00B5059A" w:rsidRDefault="00000000">
      <w:pPr>
        <w:spacing w:line="360" w:lineRule="auto"/>
        <w:rPr>
          <w:rFonts w:ascii="Times New Roman" w:eastAsia="SimSun" w:hAnsi="Times New Roman" w:cs="Times New Roman"/>
          <w:sz w:val="24"/>
        </w:rPr>
      </w:pPr>
      <w:r>
        <w:rPr>
          <w:rFonts w:ascii="Times New Roman" w:eastAsia="SimSun" w:hAnsi="Times New Roman" w:cs="Times New Roman"/>
          <w:sz w:val="24"/>
        </w:rPr>
        <w:t>This introductory chapter sets the scene for the book, providing an overview of sustainability and resilience in the urban environment. It illustrates the impact of climate change on the living environment thus affecting people’s health and well-being. Interventions to mitigate the impact through instruments of policy and technical solutions are provided. Computer modelling and simulations provide tools for scenario analysis to assist risk forecasting and decision makings of mitigation strategies. Case studies provide examples of sustainable and resilient urban design and policy implementation which are hoped to be useful to the readers.</w:t>
      </w:r>
    </w:p>
    <w:p w14:paraId="4915397A" w14:textId="77777777" w:rsidR="00B5059A" w:rsidRDefault="00B5059A">
      <w:pPr>
        <w:spacing w:line="360" w:lineRule="auto"/>
        <w:rPr>
          <w:rFonts w:ascii="Times New Roman" w:eastAsia="SimSun" w:hAnsi="Times New Roman" w:cs="Times New Roman"/>
          <w:sz w:val="24"/>
        </w:rPr>
      </w:pPr>
    </w:p>
    <w:p w14:paraId="4E4ACF5E" w14:textId="4FDEBF7A" w:rsidR="00B5059A" w:rsidRDefault="00000000">
      <w:pPr>
        <w:spacing w:line="360" w:lineRule="auto"/>
        <w:rPr>
          <w:rFonts w:ascii="Times New Roman" w:eastAsia="SimSun" w:hAnsi="Times New Roman" w:cs="Times New Roman"/>
          <w:sz w:val="24"/>
        </w:rPr>
      </w:pPr>
      <w:r>
        <w:rPr>
          <w:rFonts w:ascii="Times New Roman" w:eastAsia="SimSun" w:hAnsi="Times New Roman" w:cs="Times New Roman"/>
          <w:b/>
          <w:bCs/>
          <w:sz w:val="24"/>
        </w:rPr>
        <w:t>Keywords:</w:t>
      </w:r>
      <w:r>
        <w:rPr>
          <w:rFonts w:ascii="Times New Roman" w:eastAsia="SimSun" w:hAnsi="Times New Roman" w:cs="Times New Roman"/>
          <w:sz w:val="24"/>
        </w:rPr>
        <w:t xml:space="preserve"> </w:t>
      </w:r>
      <w:r w:rsidR="009460F2">
        <w:rPr>
          <w:rFonts w:ascii="Times New Roman" w:eastAsia="SimSun" w:hAnsi="Times New Roman" w:cs="Times New Roman" w:hint="eastAsia"/>
          <w:sz w:val="24"/>
        </w:rPr>
        <w:t>S</w:t>
      </w:r>
      <w:r>
        <w:rPr>
          <w:rFonts w:ascii="Times New Roman" w:eastAsia="SimSun" w:hAnsi="Times New Roman" w:cs="Times New Roman"/>
          <w:sz w:val="24"/>
        </w:rPr>
        <w:t xml:space="preserve">ustainability, </w:t>
      </w:r>
      <w:r w:rsidR="005C255E">
        <w:rPr>
          <w:rFonts w:ascii="Times New Roman" w:eastAsia="SimSun" w:hAnsi="Times New Roman" w:cs="Times New Roman"/>
          <w:sz w:val="24"/>
        </w:rPr>
        <w:t>R</w:t>
      </w:r>
      <w:r>
        <w:rPr>
          <w:rFonts w:ascii="Times New Roman" w:eastAsia="SimSun" w:hAnsi="Times New Roman" w:cs="Times New Roman"/>
          <w:sz w:val="24"/>
        </w:rPr>
        <w:t xml:space="preserve">esilience, </w:t>
      </w:r>
      <w:r w:rsidR="005C255E">
        <w:rPr>
          <w:rFonts w:ascii="Times New Roman" w:eastAsia="SimSun" w:hAnsi="Times New Roman" w:cs="Times New Roman"/>
          <w:sz w:val="24"/>
        </w:rPr>
        <w:t>H</w:t>
      </w:r>
      <w:r>
        <w:rPr>
          <w:rFonts w:ascii="Times New Roman" w:eastAsia="SimSun" w:hAnsi="Times New Roman" w:cs="Times New Roman"/>
          <w:sz w:val="24"/>
        </w:rPr>
        <w:t xml:space="preserve">ealth and well-being, </w:t>
      </w:r>
      <w:r w:rsidR="005C255E">
        <w:rPr>
          <w:rFonts w:ascii="Times New Roman" w:eastAsia="SimSun" w:hAnsi="Times New Roman" w:cs="Times New Roman"/>
          <w:sz w:val="24"/>
        </w:rPr>
        <w:t>H</w:t>
      </w:r>
      <w:r>
        <w:rPr>
          <w:rFonts w:ascii="Times New Roman" w:eastAsia="SimSun" w:hAnsi="Times New Roman" w:cs="Times New Roman"/>
          <w:sz w:val="24"/>
        </w:rPr>
        <w:t xml:space="preserve">eat stress, </w:t>
      </w:r>
      <w:r w:rsidR="005C255E">
        <w:rPr>
          <w:rFonts w:ascii="Times New Roman" w:eastAsia="SimSun" w:hAnsi="Times New Roman" w:cs="Times New Roman"/>
          <w:sz w:val="24"/>
        </w:rPr>
        <w:t>M</w:t>
      </w:r>
      <w:r>
        <w:rPr>
          <w:rFonts w:ascii="Times New Roman" w:eastAsia="SimSun" w:hAnsi="Times New Roman" w:cs="Times New Roman"/>
          <w:sz w:val="24"/>
        </w:rPr>
        <w:t xml:space="preserve">odelling, </w:t>
      </w:r>
      <w:r w:rsidR="005C255E">
        <w:rPr>
          <w:rFonts w:ascii="Times New Roman" w:eastAsia="SimSun" w:hAnsi="Times New Roman" w:cs="Times New Roman"/>
          <w:sz w:val="24"/>
        </w:rPr>
        <w:t>A</w:t>
      </w:r>
      <w:r>
        <w:rPr>
          <w:rFonts w:ascii="Times New Roman" w:eastAsia="SimSun" w:hAnsi="Times New Roman" w:cs="Times New Roman"/>
          <w:sz w:val="24"/>
        </w:rPr>
        <w:t xml:space="preserve">ir quality, </w:t>
      </w:r>
      <w:r w:rsidR="005C255E">
        <w:rPr>
          <w:rFonts w:ascii="Times New Roman" w:eastAsia="SimSun" w:hAnsi="Times New Roman" w:cs="Times New Roman"/>
          <w:sz w:val="24"/>
        </w:rPr>
        <w:t>N</w:t>
      </w:r>
      <w:r>
        <w:rPr>
          <w:rFonts w:ascii="Times New Roman" w:eastAsia="SimSun" w:hAnsi="Times New Roman" w:cs="Times New Roman"/>
          <w:sz w:val="24"/>
        </w:rPr>
        <w:t xml:space="preserve">oise, </w:t>
      </w:r>
      <w:r w:rsidR="005C255E">
        <w:rPr>
          <w:rFonts w:ascii="Times New Roman" w:eastAsia="SimSun" w:hAnsi="Times New Roman" w:cs="Times New Roman"/>
          <w:sz w:val="24"/>
        </w:rPr>
        <w:t>B</w:t>
      </w:r>
      <w:r>
        <w:rPr>
          <w:rFonts w:ascii="Times New Roman" w:eastAsia="SimSun" w:hAnsi="Times New Roman" w:cs="Times New Roman"/>
          <w:sz w:val="24"/>
        </w:rPr>
        <w:t xml:space="preserve">iodiversity, </w:t>
      </w:r>
      <w:r w:rsidR="005C255E">
        <w:rPr>
          <w:rFonts w:ascii="Times New Roman" w:eastAsia="SimSun" w:hAnsi="Times New Roman" w:cs="Times New Roman"/>
          <w:sz w:val="24"/>
        </w:rPr>
        <w:t>G</w:t>
      </w:r>
      <w:r>
        <w:rPr>
          <w:rFonts w:ascii="Times New Roman" w:eastAsia="SimSun" w:hAnsi="Times New Roman" w:cs="Times New Roman"/>
          <w:sz w:val="24"/>
        </w:rPr>
        <w:t xml:space="preserve">reen infrastructure, </w:t>
      </w:r>
      <w:r w:rsidR="005C255E">
        <w:rPr>
          <w:rFonts w:ascii="Times New Roman" w:eastAsia="SimSun" w:hAnsi="Times New Roman" w:cs="Times New Roman"/>
          <w:sz w:val="24"/>
        </w:rPr>
        <w:t>F</w:t>
      </w:r>
      <w:r>
        <w:rPr>
          <w:rFonts w:ascii="Times New Roman" w:eastAsia="SimSun" w:hAnsi="Times New Roman" w:cs="Times New Roman"/>
          <w:sz w:val="24"/>
        </w:rPr>
        <w:t>lood,</w:t>
      </w:r>
      <w:r>
        <w:rPr>
          <w:rFonts w:ascii="Times New Roman" w:eastAsia="SimSun" w:hAnsi="Times New Roman" w:cs="Times New Roman" w:hint="eastAsia"/>
          <w:sz w:val="24"/>
        </w:rPr>
        <w:t xml:space="preserve"> </w:t>
      </w:r>
      <w:r w:rsidR="005C255E">
        <w:rPr>
          <w:rFonts w:ascii="Times New Roman" w:eastAsia="SimSun" w:hAnsi="Times New Roman" w:cs="Times New Roman"/>
          <w:sz w:val="24"/>
        </w:rPr>
        <w:t>W</w:t>
      </w:r>
      <w:r>
        <w:rPr>
          <w:rFonts w:ascii="Times New Roman" w:eastAsia="SimSun" w:hAnsi="Times New Roman" w:cs="Times New Roman" w:hint="eastAsia"/>
          <w:sz w:val="24"/>
        </w:rPr>
        <w:t>ater,</w:t>
      </w:r>
      <w:r>
        <w:rPr>
          <w:rFonts w:ascii="Times New Roman" w:eastAsia="SimSun" w:hAnsi="Times New Roman" w:cs="Times New Roman"/>
          <w:sz w:val="24"/>
        </w:rPr>
        <w:t xml:space="preserve"> </w:t>
      </w:r>
      <w:r w:rsidR="005C255E">
        <w:rPr>
          <w:rFonts w:ascii="Times New Roman" w:eastAsia="SimSun" w:hAnsi="Times New Roman" w:cs="Times New Roman"/>
          <w:sz w:val="24"/>
        </w:rPr>
        <w:t>P</w:t>
      </w:r>
      <w:r>
        <w:rPr>
          <w:rFonts w:ascii="Times New Roman" w:eastAsia="SimSun" w:hAnsi="Times New Roman" w:cs="Times New Roman"/>
          <w:sz w:val="24"/>
        </w:rPr>
        <w:t>olicy</w:t>
      </w:r>
    </w:p>
    <w:p w14:paraId="27021F05" w14:textId="77777777" w:rsidR="00B5059A" w:rsidRDefault="00B5059A">
      <w:pPr>
        <w:spacing w:line="360" w:lineRule="auto"/>
        <w:rPr>
          <w:rFonts w:ascii="Times New Roman" w:eastAsia="SimSun" w:hAnsi="Times New Roman" w:cs="Times New Roman"/>
          <w:sz w:val="24"/>
        </w:rPr>
      </w:pPr>
    </w:p>
    <w:p w14:paraId="176CBC70" w14:textId="52A616B3" w:rsidR="00B5059A" w:rsidRPr="00E37B1C" w:rsidRDefault="00000000" w:rsidP="00E37B1C">
      <w:pPr>
        <w:pStyle w:val="ListParagraph"/>
        <w:numPr>
          <w:ilvl w:val="1"/>
          <w:numId w:val="2"/>
        </w:numPr>
        <w:spacing w:line="360" w:lineRule="auto"/>
        <w:rPr>
          <w:rFonts w:ascii="Times New Roman" w:eastAsia="SimSun" w:hAnsi="Times New Roman" w:cs="Times New Roman"/>
          <w:b/>
          <w:bCs/>
          <w:sz w:val="24"/>
        </w:rPr>
      </w:pPr>
      <w:r w:rsidRPr="00E37B1C">
        <w:rPr>
          <w:rFonts w:ascii="Times New Roman" w:eastAsia="SimSun" w:hAnsi="Times New Roman" w:cs="Times New Roman"/>
          <w:b/>
          <w:bCs/>
          <w:sz w:val="24"/>
        </w:rPr>
        <w:t>Background</w:t>
      </w:r>
    </w:p>
    <w:p w14:paraId="4989F370" w14:textId="264C46A0" w:rsidR="009852FC" w:rsidRPr="00754DCD" w:rsidRDefault="009852FC">
      <w:pPr>
        <w:spacing w:line="360" w:lineRule="auto"/>
        <w:rPr>
          <w:rFonts w:ascii="Times New Roman" w:eastAsia="SimSun" w:hAnsi="Times New Roman" w:cs="Times New Roman"/>
          <w:sz w:val="24"/>
        </w:rPr>
      </w:pPr>
      <w:r w:rsidRPr="00754DCD">
        <w:rPr>
          <w:rFonts w:ascii="Times New Roman" w:eastAsia="SimSun" w:hAnsi="Times New Roman" w:cs="Times New Roman"/>
          <w:sz w:val="24"/>
        </w:rPr>
        <w:t>According to ‘the World Bank Overview (https://www.worldbank.org/en/topic/urbandevelopment/overview)  today, some 56% of the world’s population – 4.4 billion inhabitants – live in cities. This trend is expected to continue, with the urban population more than doubling its current size by 2050, at which point nearly 7 of 10 people will live in cities.  </w:t>
      </w:r>
    </w:p>
    <w:p w14:paraId="110271D7" w14:textId="77777777" w:rsidR="009852FC" w:rsidRDefault="009852FC">
      <w:pPr>
        <w:spacing w:line="360" w:lineRule="auto"/>
        <w:rPr>
          <w:rFonts w:ascii="Times New Roman" w:eastAsiaTheme="minorEastAsia" w:hAnsi="Times New Roman" w:cs="Times New Roman"/>
          <w:sz w:val="24"/>
        </w:rPr>
      </w:pPr>
    </w:p>
    <w:p w14:paraId="585E2402" w14:textId="77777777" w:rsidR="009852FC" w:rsidRDefault="009852FC">
      <w:pPr>
        <w:spacing w:line="360" w:lineRule="auto"/>
        <w:rPr>
          <w:rFonts w:ascii="Times New Roman" w:eastAsiaTheme="minorEastAsia" w:hAnsi="Times New Roman" w:cs="Times New Roman"/>
          <w:sz w:val="24"/>
        </w:rPr>
      </w:pPr>
    </w:p>
    <w:p w14:paraId="6F3237A0" w14:textId="24EDF85F" w:rsidR="0056753C" w:rsidRPr="005F77AE" w:rsidRDefault="00000000">
      <w:pPr>
        <w:spacing w:line="360" w:lineRule="auto"/>
        <w:rPr>
          <w:rFonts w:ascii="Times New Roman" w:eastAsiaTheme="minorEastAsia" w:hAnsi="Times New Roman" w:cs="Times New Roman"/>
          <w:sz w:val="24"/>
        </w:rPr>
      </w:pPr>
      <w:r w:rsidRPr="005F77AE">
        <w:rPr>
          <w:rFonts w:ascii="Times New Roman" w:eastAsiaTheme="minorEastAsia" w:hAnsi="Times New Roman" w:cs="Times New Roman" w:hint="eastAsia"/>
          <w:sz w:val="24"/>
        </w:rPr>
        <w:t>Citizen</w:t>
      </w:r>
      <w:r w:rsidR="00361D57" w:rsidRPr="005F77AE">
        <w:rPr>
          <w:rFonts w:ascii="Times New Roman" w:eastAsiaTheme="minorEastAsia" w:hAnsi="Times New Roman" w:cs="Times New Roman"/>
          <w:sz w:val="24"/>
        </w:rPr>
        <w:t>s’</w:t>
      </w:r>
      <w:r w:rsidRPr="005F77AE">
        <w:rPr>
          <w:rFonts w:ascii="Times New Roman" w:eastAsiaTheme="minorEastAsia" w:hAnsi="Times New Roman" w:cs="Times New Roman" w:hint="eastAsia"/>
          <w:sz w:val="24"/>
        </w:rPr>
        <w:t xml:space="preserve"> daily activities in </w:t>
      </w:r>
      <w:r w:rsidRPr="005F77AE">
        <w:rPr>
          <w:rFonts w:ascii="Times New Roman" w:eastAsiaTheme="minorEastAsia" w:hAnsi="Times New Roman" w:cs="Times New Roman"/>
          <w:sz w:val="24"/>
        </w:rPr>
        <w:t xml:space="preserve">a </w:t>
      </w:r>
      <w:r w:rsidRPr="005F77AE">
        <w:rPr>
          <w:rFonts w:ascii="Times New Roman" w:eastAsiaTheme="minorEastAsia" w:hAnsi="Times New Roman" w:cs="Times New Roman" w:hint="eastAsia"/>
          <w:sz w:val="24"/>
        </w:rPr>
        <w:t xml:space="preserve">city are relying on living environment conditions and resources like </w:t>
      </w:r>
      <w:r w:rsidR="00361D57" w:rsidRPr="005F77AE">
        <w:rPr>
          <w:rFonts w:ascii="Times New Roman" w:eastAsiaTheme="minorEastAsia" w:hAnsi="Times New Roman" w:cs="Times New Roman"/>
          <w:sz w:val="24"/>
        </w:rPr>
        <w:t>pleasant</w:t>
      </w:r>
      <w:r w:rsidRPr="005F77AE">
        <w:rPr>
          <w:rFonts w:ascii="Times New Roman" w:eastAsiaTheme="minorEastAsia" w:hAnsi="Times New Roman" w:cs="Times New Roman" w:hint="eastAsia"/>
          <w:sz w:val="24"/>
        </w:rPr>
        <w:t xml:space="preserve"> temperature</w:t>
      </w:r>
      <w:r w:rsidR="00361D57" w:rsidRPr="005F77AE">
        <w:rPr>
          <w:rFonts w:ascii="Times New Roman" w:eastAsiaTheme="minorEastAsia" w:hAnsi="Times New Roman" w:cs="Times New Roman"/>
          <w:sz w:val="24"/>
        </w:rPr>
        <w:t>s</w:t>
      </w:r>
      <w:r w:rsidRPr="005F77AE">
        <w:rPr>
          <w:rFonts w:ascii="Times New Roman" w:eastAsiaTheme="minorEastAsia" w:hAnsi="Times New Roman" w:cs="Times New Roman" w:hint="eastAsia"/>
          <w:sz w:val="24"/>
        </w:rPr>
        <w:t xml:space="preserve">, </w:t>
      </w:r>
      <w:r w:rsidRPr="005F77AE">
        <w:rPr>
          <w:rFonts w:ascii="Times New Roman" w:eastAsiaTheme="minorEastAsia" w:hAnsi="Times New Roman" w:cs="Times New Roman"/>
          <w:sz w:val="24"/>
        </w:rPr>
        <w:t>clean</w:t>
      </w:r>
      <w:r w:rsidRPr="005F77AE">
        <w:rPr>
          <w:rFonts w:ascii="Times New Roman" w:eastAsiaTheme="minorEastAsia" w:hAnsi="Times New Roman" w:cs="Times New Roman" w:hint="eastAsia"/>
          <w:sz w:val="24"/>
        </w:rPr>
        <w:t xml:space="preserve"> air, clean water, flood resilience, acceptable acoustic environment, sufficient energy supplies, affordable living supplies and so on </w:t>
      </w:r>
      <w:r w:rsidRPr="005F77AE">
        <w:rPr>
          <w:rFonts w:ascii="Times New Roman" w:eastAsia="SimSun" w:hAnsi="Times New Roman" w:cs="Times New Roman"/>
          <w:sz w:val="24"/>
        </w:rPr>
        <w:t>(IPCC, 2018</w:t>
      </w:r>
      <w:r w:rsidRPr="005F77AE">
        <w:rPr>
          <w:rFonts w:ascii="Times New Roman" w:eastAsia="SimSun" w:hAnsi="Times New Roman" w:cs="Times New Roman" w:hint="eastAsia"/>
          <w:sz w:val="24"/>
        </w:rPr>
        <w:t>).</w:t>
      </w:r>
      <w:r w:rsidRPr="005F77AE">
        <w:rPr>
          <w:rFonts w:ascii="Times New Roman" w:eastAsiaTheme="minorEastAsia" w:hAnsi="Times New Roman" w:cs="Times New Roman" w:hint="eastAsia"/>
          <w:sz w:val="24"/>
        </w:rPr>
        <w:t xml:space="preserve"> Those elements are fundamental for </w:t>
      </w:r>
      <w:r w:rsidR="0056753C" w:rsidRPr="005F77AE">
        <w:rPr>
          <w:rFonts w:ascii="Times New Roman" w:eastAsiaTheme="minorEastAsia" w:hAnsi="Times New Roman" w:cs="Times New Roman"/>
          <w:sz w:val="24"/>
        </w:rPr>
        <w:t xml:space="preserve">providing a healthy environment for people to live in and maintaining </w:t>
      </w:r>
      <w:r w:rsidRPr="005F77AE">
        <w:rPr>
          <w:rFonts w:ascii="Times New Roman" w:eastAsiaTheme="minorEastAsia" w:hAnsi="Times New Roman" w:cs="Times New Roman" w:hint="eastAsia"/>
          <w:sz w:val="24"/>
        </w:rPr>
        <w:t xml:space="preserve">city sustainability and resilience. </w:t>
      </w:r>
    </w:p>
    <w:p w14:paraId="5F10FF72" w14:textId="77777777" w:rsidR="0056753C" w:rsidRPr="00361D57" w:rsidRDefault="0056753C">
      <w:pPr>
        <w:spacing w:line="360" w:lineRule="auto"/>
        <w:rPr>
          <w:rFonts w:ascii="Times New Roman" w:eastAsiaTheme="minorEastAsia" w:hAnsi="Times New Roman" w:cs="Times New Roman"/>
          <w:sz w:val="22"/>
          <w:szCs w:val="22"/>
        </w:rPr>
      </w:pPr>
    </w:p>
    <w:p w14:paraId="7900E3EF" w14:textId="00077514" w:rsidR="00B5059A" w:rsidRDefault="00000000" w:rsidP="00361D57">
      <w:pPr>
        <w:rPr>
          <w:rFonts w:ascii="Times New Roman" w:eastAsia="SimSun" w:hAnsi="Times New Roman" w:cs="Times New Roman"/>
          <w:b/>
          <w:bCs/>
          <w:color w:val="3C4245"/>
          <w:sz w:val="24"/>
        </w:rPr>
      </w:pPr>
      <w:r>
        <w:rPr>
          <w:rFonts w:ascii="Times New Roman" w:eastAsia="SimSun" w:hAnsi="Times New Roman" w:cs="Times New Roman" w:hint="eastAsia"/>
          <w:b/>
          <w:bCs/>
          <w:color w:val="3C4245"/>
          <w:sz w:val="24"/>
        </w:rPr>
        <w:t>Temperature</w:t>
      </w:r>
    </w:p>
    <w:p w14:paraId="228256F3" w14:textId="77777777" w:rsidR="00361D57" w:rsidRDefault="00361D57" w:rsidP="00361D57">
      <w:pPr>
        <w:rPr>
          <w:rFonts w:ascii="Times New Roman" w:eastAsia="SimSun" w:hAnsi="Times New Roman" w:cs="Times New Roman"/>
          <w:b/>
          <w:bCs/>
          <w:color w:val="3C4245"/>
          <w:sz w:val="24"/>
        </w:rPr>
      </w:pPr>
    </w:p>
    <w:p w14:paraId="32354B66" w14:textId="65DF5F8C" w:rsidR="00B5059A" w:rsidRPr="005F77AE" w:rsidRDefault="00000000">
      <w:pPr>
        <w:spacing w:line="360" w:lineRule="auto"/>
        <w:rPr>
          <w:rFonts w:ascii="Times New Roman" w:eastAsia="SimSun" w:hAnsi="Times New Roman" w:cs="Times New Roman"/>
          <w:color w:val="3C4245"/>
          <w:sz w:val="24"/>
          <w:lang w:val="en-GB"/>
        </w:rPr>
      </w:pPr>
      <w:r w:rsidRPr="005F77AE">
        <w:rPr>
          <w:rFonts w:ascii="Times New Roman" w:eastAsia="SimSun" w:hAnsi="Times New Roman" w:cs="Times New Roman"/>
          <w:color w:val="3C4245"/>
          <w:sz w:val="24"/>
          <w:lang w:val="en-GB"/>
        </w:rPr>
        <w:t xml:space="preserve">Climate change increases the likelihood of heatwave events, posing great threats to human health as well as resulting in increased mortality and human thermal discomfort. Extreme temperature events have been classified as one of the most dangerous global disasters </w:t>
      </w:r>
      <w:r w:rsidRPr="005F77AE">
        <w:rPr>
          <w:rFonts w:ascii="Times New Roman" w:eastAsia="SimSun" w:hAnsi="Times New Roman" w:cs="Times New Roman"/>
          <w:color w:val="3C4245"/>
          <w:sz w:val="24"/>
          <w:lang w:val="en-GB"/>
        </w:rPr>
        <w:fldChar w:fldCharType="begin"/>
      </w:r>
      <w:r w:rsidRPr="005F77AE">
        <w:rPr>
          <w:rFonts w:ascii="Times New Roman" w:eastAsia="SimSun" w:hAnsi="Times New Roman" w:cs="Times New Roman"/>
          <w:color w:val="3C4245"/>
          <w:sz w:val="24"/>
          <w:lang w:val="en-GB"/>
        </w:rPr>
        <w:instrText xml:space="preserve"> ADDIN EN.CITE &lt;EndNote&gt;&lt;Cite&gt;&lt;Author&gt;WMO&lt;/Author&gt;&lt;Year&gt;2021&lt;/Year&gt;&lt;RecNum&gt;923&lt;/RecNum&gt;&lt;DisplayText&gt;(WMO 2021)&lt;/DisplayText&gt;&lt;record&gt;&lt;rec-number&gt;923&lt;/rec-number&gt;&lt;foreign-keys&gt;&lt;key app="EN" db-id="fra5rtwarx95suewpxcpfv0ndfpa2t2ppptv" timestamp="1683212235"&gt;923&lt;/key&gt;&lt;/foreign-keys&gt;&lt;ref-type name="Report"&gt;27&lt;/ref-type&gt;&lt;contributors&gt;&lt;authors&gt;&lt;author&gt;WMO&lt;/author&gt;&lt;/authors&gt;&lt;tertiary-authors&gt;&lt;author&gt;World Meteorological Organization (WMO)&lt;/author&gt;&lt;/tertiary-authors&gt;&lt;/contributors&gt;&lt;titles&gt;&lt;title&gt;WMO Atlas of Mortality and Economic Losses from Weather, Climate and Water Extremes (1970–2019)&lt;/title&gt;&lt;/titles&gt;&lt;number&gt;WMO- No. 1267&lt;/number&gt;&lt;dates&gt;&lt;year&gt;2021&lt;/year&gt;&lt;/dates&gt;&lt;urls&gt;&lt;related-urls&gt;&lt;url&gt;https://library.wmo.int/index.php?lvl=notice_display&amp;amp;id=21930#.ZFPHTnbMJPa&lt;/url&gt;&lt;/related-urls&gt;&lt;/urls&gt;&lt;language&gt;English&lt;/language&gt;&lt;access-date&gt;04 May 2023&lt;/access-date&gt;&lt;/record&gt;&lt;/Cite&gt;&lt;/EndNote&gt;</w:instrText>
      </w:r>
      <w:r w:rsidRPr="005F77AE">
        <w:rPr>
          <w:rFonts w:ascii="Times New Roman" w:eastAsia="SimSun" w:hAnsi="Times New Roman" w:cs="Times New Roman"/>
          <w:color w:val="3C4245"/>
          <w:sz w:val="24"/>
          <w:lang w:val="en-GB"/>
        </w:rPr>
        <w:fldChar w:fldCharType="separate"/>
      </w:r>
      <w:r w:rsidRPr="005F77AE">
        <w:rPr>
          <w:rFonts w:ascii="Times New Roman" w:eastAsia="SimSun" w:hAnsi="Times New Roman" w:cs="Times New Roman"/>
          <w:color w:val="3C4245"/>
          <w:sz w:val="24"/>
          <w:lang w:val="en-GB"/>
        </w:rPr>
        <w:t>(</w:t>
      </w:r>
      <w:hyperlink w:anchor="_ENREF_9" w:tooltip="WMO, 2021 #923" w:history="1">
        <w:r w:rsidR="00B5059A" w:rsidRPr="005F77AE">
          <w:rPr>
            <w:rFonts w:ascii="Times New Roman" w:eastAsia="SimSun" w:hAnsi="Times New Roman" w:cs="Times New Roman"/>
            <w:color w:val="3C4245"/>
            <w:sz w:val="24"/>
            <w:lang w:val="en-GB"/>
          </w:rPr>
          <w:t>WMO 2021</w:t>
        </w:r>
      </w:hyperlink>
      <w:r w:rsidRPr="005F77AE">
        <w:rPr>
          <w:rFonts w:ascii="Times New Roman" w:eastAsia="SimSun" w:hAnsi="Times New Roman" w:cs="Times New Roman"/>
          <w:color w:val="3C4245"/>
          <w:sz w:val="24"/>
          <w:lang w:val="en-GB"/>
        </w:rPr>
        <w:t>)</w:t>
      </w:r>
      <w:r w:rsidRPr="005F77AE">
        <w:rPr>
          <w:rFonts w:ascii="Times New Roman" w:eastAsia="SimSun" w:hAnsi="Times New Roman" w:cs="Times New Roman"/>
          <w:color w:val="3C4245"/>
          <w:sz w:val="24"/>
          <w:lang w:val="en-GB"/>
        </w:rPr>
        <w:fldChar w:fldCharType="end"/>
      </w:r>
      <w:r w:rsidRPr="005F77AE">
        <w:rPr>
          <w:rFonts w:ascii="Times New Roman" w:eastAsia="SimSun" w:hAnsi="Times New Roman" w:cs="Times New Roman"/>
          <w:color w:val="3C4245"/>
          <w:sz w:val="24"/>
          <w:lang w:val="en-GB"/>
        </w:rPr>
        <w:t xml:space="preserve">. Between 1998~2017 more than 166,000 people died due to extreme temperatures, and especially in 2003 over 70,000 people were killed in heatwaves </w:t>
      </w:r>
      <w:r w:rsidR="00E37B1C" w:rsidRPr="005F77AE">
        <w:rPr>
          <w:rFonts w:ascii="Times New Roman" w:eastAsia="SimSun" w:hAnsi="Times New Roman" w:cs="Times New Roman"/>
          <w:color w:val="3C4245"/>
          <w:sz w:val="24"/>
          <w:lang w:val="en-GB"/>
        </w:rPr>
        <w:t xml:space="preserve">in Europe </w:t>
      </w:r>
      <w:r w:rsidRPr="005F77AE">
        <w:rPr>
          <w:rFonts w:ascii="Times New Roman" w:eastAsia="SimSun" w:hAnsi="Times New Roman" w:cs="Times New Roman"/>
          <w:color w:val="3C4245"/>
          <w:sz w:val="24"/>
          <w:lang w:val="en-GB"/>
        </w:rPr>
        <w:fldChar w:fldCharType="begin"/>
      </w:r>
      <w:r w:rsidRPr="005F77AE">
        <w:rPr>
          <w:rFonts w:ascii="Times New Roman" w:eastAsia="SimSun" w:hAnsi="Times New Roman" w:cs="Times New Roman"/>
          <w:color w:val="3C4245"/>
          <w:sz w:val="24"/>
          <w:lang w:val="en-GB"/>
        </w:rPr>
        <w:instrText xml:space="preserve"> ADDIN EN.CITE &lt;EndNote&gt;&lt;Cite&gt;&lt;Author&gt;CRED&lt;/Author&gt;&lt;Year&gt;2018&lt;/Year&gt;&lt;RecNum&gt;922&lt;/RecNum&gt;&lt;DisplayText&gt;(CRED and UNISDR 2018)&lt;/DisplayText&gt;&lt;record&gt;&lt;rec-number&gt;922&lt;/rec-number&gt;&lt;foreign-keys&gt;&lt;key app="EN" db-id="fra5rtwarx95suewpxcpfv0ndfpa2t2ppptv" timestamp="1683209985"&gt;922&lt;/key&gt;&lt;/foreign-keys&gt;&lt;ref-type name="Report"&gt;27&lt;/ref-type&gt;&lt;contributors&gt;&lt;authors&gt;&lt;author&gt;CRED&lt;/author&gt;&lt;author&gt;UNISDR&lt;/author&gt;&lt;/authors&gt;&lt;tertiary-authors&gt;&lt;author&gt;Centre for Research on the Epidemiology of Disasters (CRED)&lt;/author&gt;&lt;author&gt;United Nations Office for Disaster Risk Reduction (UNISDR)&lt;/author&gt;&lt;/tertiary-authors&gt;&lt;/contributors&gt;&lt;titles&gt;&lt;title&gt;Economic losses, poverty &amp;amp; disasters: 1998-2017&lt;/title&gt;&lt;/titles&gt;&lt;pages&gt;31&lt;/pages&gt;&lt;dates&gt;&lt;year&gt;2018&lt;/year&gt;&lt;/dates&gt;&lt;urls&gt;&lt;related-urls&gt;&lt;url&gt;https://www.undrr.org/publication/economic-losses-poverty-disasters-1998-2017&lt;/url&gt;&lt;/related-urls&gt;&lt;/urls&gt;&lt;access-date&gt;04 May 2023&lt;/access-date&gt;&lt;/record&gt;&lt;/Cite&gt;&lt;/EndNote&gt;</w:instrText>
      </w:r>
      <w:r w:rsidRPr="005F77AE">
        <w:rPr>
          <w:rFonts w:ascii="Times New Roman" w:eastAsia="SimSun" w:hAnsi="Times New Roman" w:cs="Times New Roman"/>
          <w:color w:val="3C4245"/>
          <w:sz w:val="24"/>
          <w:lang w:val="en-GB"/>
        </w:rPr>
        <w:fldChar w:fldCharType="separate"/>
      </w:r>
      <w:r w:rsidRPr="005F77AE">
        <w:rPr>
          <w:rFonts w:ascii="Times New Roman" w:eastAsia="SimSun" w:hAnsi="Times New Roman" w:cs="Times New Roman"/>
          <w:color w:val="3C4245"/>
          <w:sz w:val="24"/>
          <w:lang w:val="en-GB"/>
        </w:rPr>
        <w:t>(</w:t>
      </w:r>
      <w:hyperlink w:anchor="_ENREF_1" w:tooltip="CRED, 2018 #922" w:history="1">
        <w:r w:rsidR="00B5059A" w:rsidRPr="005F77AE">
          <w:rPr>
            <w:rFonts w:ascii="Times New Roman" w:eastAsia="SimSun" w:hAnsi="Times New Roman" w:cs="Times New Roman"/>
            <w:color w:val="3C4245"/>
            <w:sz w:val="24"/>
            <w:lang w:val="en-GB"/>
          </w:rPr>
          <w:t>CRED and UNISDR 2018</w:t>
        </w:r>
      </w:hyperlink>
      <w:r w:rsidRPr="005F77AE">
        <w:rPr>
          <w:rFonts w:ascii="Times New Roman" w:eastAsia="SimSun" w:hAnsi="Times New Roman" w:cs="Times New Roman"/>
          <w:color w:val="3C4245"/>
          <w:sz w:val="24"/>
          <w:lang w:val="en-GB"/>
        </w:rPr>
        <w:t>)</w:t>
      </w:r>
      <w:r w:rsidRPr="005F77AE">
        <w:rPr>
          <w:rFonts w:ascii="Times New Roman" w:eastAsia="SimSun" w:hAnsi="Times New Roman" w:cs="Times New Roman"/>
          <w:color w:val="3C4245"/>
          <w:sz w:val="24"/>
          <w:lang w:val="en-GB"/>
        </w:rPr>
        <w:fldChar w:fldCharType="end"/>
      </w:r>
      <w:r w:rsidRPr="005F77AE">
        <w:rPr>
          <w:rFonts w:ascii="Times New Roman" w:eastAsia="SimSun" w:hAnsi="Times New Roman" w:cs="Times New Roman"/>
          <w:color w:val="3C4245"/>
          <w:sz w:val="24"/>
          <w:lang w:val="en-GB"/>
        </w:rPr>
        <w:t>. In</w:t>
      </w:r>
      <w:r w:rsidR="00E37B1C" w:rsidRPr="005F77AE">
        <w:rPr>
          <w:rFonts w:ascii="Times New Roman" w:eastAsia="SimSun" w:hAnsi="Times New Roman" w:cs="Times New Roman"/>
          <w:color w:val="3C4245"/>
          <w:sz w:val="24"/>
          <w:lang w:val="en-GB"/>
        </w:rPr>
        <w:t xml:space="preserve"> </w:t>
      </w:r>
      <w:r w:rsidRPr="005F77AE">
        <w:rPr>
          <w:rFonts w:ascii="Times New Roman" w:eastAsia="SimSun" w:hAnsi="Times New Roman" w:cs="Times New Roman"/>
          <w:color w:val="3C4245"/>
          <w:sz w:val="24"/>
          <w:lang w:val="en-GB"/>
        </w:rPr>
        <w:t>the U</w:t>
      </w:r>
      <w:r w:rsidRPr="005F77AE">
        <w:rPr>
          <w:rFonts w:ascii="Times New Roman" w:eastAsia="SimSun" w:hAnsi="Times New Roman" w:cs="Times New Roman"/>
          <w:sz w:val="24"/>
          <w:lang w:val="en-GB"/>
        </w:rPr>
        <w:t>K, heatwaves</w:t>
      </w:r>
      <w:r w:rsidR="00E37B1C" w:rsidRPr="005F77AE">
        <w:rPr>
          <w:rFonts w:ascii="Times New Roman" w:eastAsia="SimSun" w:hAnsi="Times New Roman" w:cs="Times New Roman"/>
          <w:sz w:val="24"/>
          <w:lang w:val="en-GB"/>
        </w:rPr>
        <w:t>,</w:t>
      </w:r>
      <w:r w:rsidRPr="005F77AE">
        <w:rPr>
          <w:rFonts w:ascii="Times New Roman" w:eastAsia="SimSun" w:hAnsi="Times New Roman" w:cs="Times New Roman"/>
          <w:sz w:val="24"/>
          <w:lang w:val="en-GB"/>
        </w:rPr>
        <w:t xml:space="preserve"> in June and August </w:t>
      </w:r>
      <w:r w:rsidR="00E37B1C" w:rsidRPr="005F77AE">
        <w:rPr>
          <w:rFonts w:ascii="Times New Roman" w:eastAsia="SimSun" w:hAnsi="Times New Roman" w:cs="Times New Roman"/>
          <w:sz w:val="24"/>
          <w:lang w:val="en-GB"/>
        </w:rPr>
        <w:t xml:space="preserve">2020, </w:t>
      </w:r>
      <w:r w:rsidRPr="005F77AE">
        <w:rPr>
          <w:rFonts w:ascii="Times New Roman" w:eastAsia="SimSun" w:hAnsi="Times New Roman" w:cs="Times New Roman"/>
          <w:sz w:val="24"/>
          <w:lang w:val="en-GB"/>
        </w:rPr>
        <w:t xml:space="preserve">caused more than 2000 deaths </w:t>
      </w:r>
      <w:r w:rsidRPr="005F77AE">
        <w:rPr>
          <w:rFonts w:ascii="Times New Roman" w:eastAsia="SimSun" w:hAnsi="Times New Roman" w:cs="Times New Roman"/>
          <w:sz w:val="24"/>
          <w:lang w:val="en-GB"/>
        </w:rPr>
        <w:fldChar w:fldCharType="begin"/>
      </w:r>
      <w:r w:rsidRPr="005F77AE">
        <w:rPr>
          <w:rFonts w:ascii="Times New Roman" w:eastAsia="SimSun" w:hAnsi="Times New Roman" w:cs="Times New Roman"/>
          <w:sz w:val="24"/>
          <w:lang w:val="en-GB"/>
        </w:rPr>
        <w:instrText xml:space="preserve"> ADDIN EN.CITE &lt;EndNote&gt;&lt;Cite&gt;&lt;Author&gt;PHE&lt;/Author&gt;&lt;Year&gt;2020&lt;/Year&gt;&lt;RecNum&gt;866&lt;/RecNum&gt;&lt;DisplayText&gt;(PHE 2020; Thompson et al. 2022)&lt;/DisplayText&gt;&lt;record&gt;&lt;rec-number&gt;866&lt;/rec-number&gt;&lt;foreign-keys&gt;&lt;key app="EN" db-id="fra5rtwarx95suewpxcpfv0ndfpa2t2ppptv" timestamp="1669160500"&gt;866&lt;/key&gt;&lt;/foreign-keys&gt;&lt;ref-type name="Web Page"&gt;12&lt;/ref-type&gt;&lt;contributors&gt;&lt;authors&gt;&lt;author&gt;PHE&lt;/author&gt;&lt;/authors&gt;&lt;/contributors&gt;&lt;titles&gt;&lt;title&gt;Heatwave mortality monitoring report: 2020&lt;/title&gt;&lt;/titles&gt;&lt;volume&gt;2022&lt;/volume&gt;&lt;number&gt;Nov. 22&lt;/number&gt;&lt;dates&gt;&lt;year&gt;2020&lt;/year&gt;&lt;pub-dates&gt;&lt;date&gt;19 November 2020&lt;/date&gt;&lt;/pub-dates&gt;&lt;/dates&gt;&lt;publisher&gt;Public Health England (PHE)&lt;/publisher&gt;&lt;urls&gt;&lt;related-urls&gt;&lt;url&gt;https://www.gov.uk/government/publications/phe-heatwave-mortality-monitoring/heatwave-mortality-monitoring-report-2020&lt;/url&gt;&lt;/related-urls&gt;&lt;/urls&gt;&lt;/record&gt;&lt;/Cite&gt;&lt;Cite&gt;&lt;Author&gt;Thompson&lt;/Author&gt;&lt;Year&gt;2022&lt;/Year&gt;&lt;RecNum&gt;868&lt;/RecNum&gt;&lt;record&gt;&lt;rec-number&gt;868&lt;/rec-number&gt;&lt;foreign-keys&gt;&lt;key app="EN" db-id="fra5rtwarx95suewpxcpfv0ndfpa2t2ppptv" timestamp="1669161023"&gt;868&lt;/key&gt;&lt;/foreign-keys&gt;&lt;ref-type name="Journal Article"&gt;17&lt;/ref-type&gt;&lt;contributors&gt;&lt;authors&gt;&lt;author&gt;Thompson, Ross&lt;/author&gt;&lt;author&gt;Landeg, Owen&lt;/author&gt;&lt;author&gt;Kar-Purkayastha, Ishani&lt;/author&gt;&lt;author&gt;Hajat, Shakoor&lt;/author&gt;&lt;author&gt;Kovats, Sari&lt;/author&gt;&lt;author&gt;O’Connell, Emer&lt;/author&gt;&lt;/authors&gt;&lt;/contributors&gt;&lt;titles&gt;&lt;title&gt;Heatwave Mortality in Summer 2020 in England: An Observational Study&lt;/title&gt;&lt;secondary-title&gt;International Journal of Environmental Research and Public Health&lt;/secondary-title&gt;&lt;/titles&gt;&lt;periodical&gt;&lt;full-title&gt;International Journal of Environmental Research and Public Health&lt;/full-title&gt;&lt;/periodical&gt;&lt;volume&gt;19&lt;/volume&gt;&lt;number&gt;10&lt;/number&gt;&lt;keywords&gt;&lt;keyword&gt;heatwave&lt;/keyword&gt;&lt;keyword&gt;mortality&lt;/keyword&gt;&lt;keyword&gt;place of death&lt;/keyword&gt;&lt;keyword&gt;cardiovascular mortality&lt;/keyword&gt;&lt;keyword&gt;dementia&lt;/keyword&gt;&lt;/keywords&gt;&lt;dates&gt;&lt;year&gt;2022&lt;/year&gt;&lt;/dates&gt;&lt;isbn&gt;1660-4601&lt;/isbn&gt;&lt;urls&gt;&lt;/urls&gt;&lt;electronic-resource-num&gt;10.3390/ijerph19106123&lt;/electronic-resource-num&gt;&lt;/record&gt;&lt;/Cite&gt;&lt;/EndNote&gt;</w:instrText>
      </w:r>
      <w:r w:rsidRPr="005F77AE">
        <w:rPr>
          <w:rFonts w:ascii="Times New Roman" w:eastAsia="SimSun" w:hAnsi="Times New Roman" w:cs="Times New Roman"/>
          <w:sz w:val="24"/>
          <w:lang w:val="en-GB"/>
        </w:rPr>
        <w:fldChar w:fldCharType="separate"/>
      </w:r>
      <w:r w:rsidRPr="005F77AE">
        <w:rPr>
          <w:rFonts w:ascii="Times New Roman" w:eastAsia="SimSun" w:hAnsi="Times New Roman" w:cs="Times New Roman"/>
          <w:sz w:val="24"/>
          <w:lang w:val="en-GB"/>
        </w:rPr>
        <w:t>(</w:t>
      </w:r>
      <w:hyperlink w:anchor="_ENREF_6" w:tooltip="PHE, 2020 #866" w:history="1">
        <w:r w:rsidR="00B5059A" w:rsidRPr="005F77AE">
          <w:rPr>
            <w:rFonts w:ascii="Times New Roman" w:eastAsia="SimSun" w:hAnsi="Times New Roman" w:cs="Times New Roman"/>
            <w:sz w:val="24"/>
            <w:lang w:val="en-GB"/>
          </w:rPr>
          <w:t>PHE 2020</w:t>
        </w:r>
      </w:hyperlink>
      <w:r w:rsidRPr="005F77AE">
        <w:rPr>
          <w:rFonts w:ascii="Times New Roman" w:eastAsia="SimSun" w:hAnsi="Times New Roman" w:cs="Times New Roman"/>
          <w:sz w:val="24"/>
          <w:lang w:val="en-GB"/>
        </w:rPr>
        <w:t xml:space="preserve">; </w:t>
      </w:r>
      <w:hyperlink w:anchor="_ENREF_7" w:tooltip="Thompson, 2022 #868" w:history="1">
        <w:r w:rsidR="00B5059A" w:rsidRPr="005F77AE">
          <w:rPr>
            <w:rFonts w:ascii="Times New Roman" w:eastAsia="SimSun" w:hAnsi="Times New Roman" w:cs="Times New Roman"/>
            <w:sz w:val="24"/>
            <w:lang w:val="en-GB"/>
          </w:rPr>
          <w:t>Thompson et al. 2022</w:t>
        </w:r>
      </w:hyperlink>
      <w:r w:rsidRPr="005F77AE">
        <w:rPr>
          <w:rFonts w:ascii="Times New Roman" w:eastAsia="SimSun" w:hAnsi="Times New Roman" w:cs="Times New Roman"/>
          <w:sz w:val="24"/>
          <w:lang w:val="en-GB"/>
        </w:rPr>
        <w:t>)</w:t>
      </w:r>
      <w:r w:rsidRPr="005F77AE">
        <w:rPr>
          <w:rFonts w:ascii="Times New Roman" w:eastAsia="SimSun" w:hAnsi="Times New Roman" w:cs="Times New Roman"/>
          <w:sz w:val="24"/>
          <w:lang w:val="en-GB"/>
        </w:rPr>
        <w:fldChar w:fldCharType="end"/>
      </w:r>
      <w:r w:rsidRPr="005F77AE">
        <w:rPr>
          <w:rFonts w:ascii="Times New Roman" w:eastAsia="SimSun" w:hAnsi="Times New Roman" w:cs="Times New Roman"/>
          <w:color w:val="3C4245"/>
          <w:sz w:val="24"/>
          <w:lang w:val="en-GB"/>
        </w:rPr>
        <w:t xml:space="preserve">. Heatwaves would make the Urban Heat Island (UHI) intensity substantial, bringing heat-related health issues for city dwellers worldwide </w:t>
      </w:r>
      <w:r w:rsidRPr="005F77AE">
        <w:rPr>
          <w:rFonts w:ascii="Times New Roman" w:eastAsia="SimSun" w:hAnsi="Times New Roman" w:cs="Times New Roman"/>
          <w:color w:val="3C4245"/>
          <w:sz w:val="24"/>
          <w:lang w:val="en-GB"/>
        </w:rPr>
        <w:fldChar w:fldCharType="begin">
          <w:fldData xml:space="preserve">PEVuZE5vdGU+PENpdGU+PEF1dGhvcj5NYWNpbnR5cmU8L0F1dGhvcj48WWVhcj4yMDE4PC9ZZWFy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</w:fldData>
        </w:fldChar>
      </w:r>
      <w:r w:rsidRPr="005F77AE">
        <w:rPr>
          <w:rFonts w:ascii="Times New Roman" w:eastAsia="SimSun" w:hAnsi="Times New Roman" w:cs="Times New Roman"/>
          <w:color w:val="3C4245"/>
          <w:sz w:val="24"/>
          <w:lang w:val="en-GB"/>
        </w:rPr>
        <w:instrText xml:space="preserve"> ADDIN EN.CITE </w:instrText>
      </w:r>
      <w:r w:rsidRPr="005F77AE">
        <w:rPr>
          <w:rFonts w:ascii="Times New Roman" w:eastAsia="SimSun" w:hAnsi="Times New Roman" w:cs="Times New Roman"/>
          <w:color w:val="3C4245"/>
          <w:sz w:val="24"/>
          <w:lang w:val="en-GB"/>
        </w:rPr>
        <w:fldChar w:fldCharType="begin">
          <w:fldData xml:space="preserve">PEVuZE5vdGU+PENpdGU+PEF1dGhvcj5NYWNpbnR5cmU8L0F1dGhvcj48WWVhcj4yMDE4PC9ZZWFy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</w:fldData>
        </w:fldChar>
      </w:r>
      <w:r w:rsidRPr="005F77AE">
        <w:rPr>
          <w:rFonts w:ascii="Times New Roman" w:eastAsia="SimSun" w:hAnsi="Times New Roman" w:cs="Times New Roman"/>
          <w:color w:val="3C4245"/>
          <w:sz w:val="24"/>
          <w:lang w:val="en-GB"/>
        </w:rPr>
        <w:instrText xml:space="preserve"> ADDIN EN.CITE.DATA </w:instrText>
      </w:r>
      <w:r w:rsidRPr="005F77AE">
        <w:rPr>
          <w:rFonts w:ascii="Times New Roman" w:eastAsia="SimSun" w:hAnsi="Times New Roman" w:cs="Times New Roman"/>
          <w:color w:val="3C4245"/>
          <w:sz w:val="24"/>
          <w:lang w:val="en-GB"/>
        </w:rPr>
      </w:r>
      <w:r w:rsidRPr="005F77AE">
        <w:rPr>
          <w:rFonts w:ascii="Times New Roman" w:eastAsia="SimSun" w:hAnsi="Times New Roman" w:cs="Times New Roman"/>
          <w:color w:val="3C4245"/>
          <w:sz w:val="24"/>
          <w:lang w:val="en-GB"/>
        </w:rPr>
        <w:fldChar w:fldCharType="separate"/>
      </w:r>
      <w:r w:rsidRPr="005F77AE">
        <w:rPr>
          <w:rFonts w:ascii="Times New Roman" w:eastAsia="SimSun" w:hAnsi="Times New Roman" w:cs="Times New Roman"/>
          <w:color w:val="3C4245"/>
          <w:sz w:val="24"/>
          <w:lang w:val="en-GB"/>
        </w:rPr>
        <w:fldChar w:fldCharType="end"/>
      </w:r>
      <w:r w:rsidRPr="005F77AE">
        <w:rPr>
          <w:rFonts w:ascii="Times New Roman" w:eastAsia="SimSun" w:hAnsi="Times New Roman" w:cs="Times New Roman"/>
          <w:color w:val="3C4245"/>
          <w:sz w:val="24"/>
          <w:lang w:val="en-GB"/>
        </w:rPr>
      </w:r>
      <w:r w:rsidRPr="005F77AE">
        <w:rPr>
          <w:rFonts w:ascii="Times New Roman" w:eastAsia="SimSun" w:hAnsi="Times New Roman" w:cs="Times New Roman"/>
          <w:color w:val="3C4245"/>
          <w:sz w:val="24"/>
          <w:lang w:val="en-GB"/>
        </w:rPr>
        <w:fldChar w:fldCharType="separate"/>
      </w:r>
      <w:r w:rsidRPr="005F77AE">
        <w:rPr>
          <w:rFonts w:ascii="Times New Roman" w:eastAsia="SimSun" w:hAnsi="Times New Roman" w:cs="Times New Roman"/>
          <w:color w:val="3C4245"/>
          <w:sz w:val="24"/>
          <w:lang w:val="en-GB"/>
        </w:rPr>
        <w:t>(</w:t>
      </w:r>
      <w:hyperlink w:anchor="_ENREF_4" w:tooltip="Macintyre, 2018 #913" w:history="1">
        <w:r w:rsidR="00B5059A" w:rsidRPr="005F77AE">
          <w:rPr>
            <w:rFonts w:ascii="Times New Roman" w:eastAsia="SimSun" w:hAnsi="Times New Roman" w:cs="Times New Roman"/>
            <w:color w:val="3C4245"/>
            <w:sz w:val="24"/>
            <w:lang w:val="en-GB"/>
          </w:rPr>
          <w:t>Macintyre et al. 2018</w:t>
        </w:r>
      </w:hyperlink>
      <w:r w:rsidRPr="005F77AE">
        <w:rPr>
          <w:rFonts w:ascii="Times New Roman" w:eastAsia="SimSun" w:hAnsi="Times New Roman" w:cs="Times New Roman"/>
          <w:color w:val="3C4245"/>
          <w:sz w:val="24"/>
          <w:lang w:val="en-GB"/>
        </w:rPr>
        <w:t xml:space="preserve">; </w:t>
      </w:r>
      <w:hyperlink w:anchor="_ENREF_3" w:tooltip="Iping, 2019 #863" w:history="1">
        <w:r w:rsidR="00B5059A" w:rsidRPr="005F77AE">
          <w:rPr>
            <w:rFonts w:ascii="Times New Roman" w:eastAsia="SimSun" w:hAnsi="Times New Roman" w:cs="Times New Roman"/>
            <w:color w:val="3C4245"/>
            <w:sz w:val="24"/>
            <w:lang w:val="en-GB"/>
          </w:rPr>
          <w:t>Iping et al. 2019</w:t>
        </w:r>
      </w:hyperlink>
      <w:r w:rsidRPr="005F77AE">
        <w:rPr>
          <w:rFonts w:ascii="Times New Roman" w:eastAsia="SimSun" w:hAnsi="Times New Roman" w:cs="Times New Roman"/>
          <w:color w:val="3C4245"/>
          <w:sz w:val="24"/>
          <w:lang w:val="en-GB"/>
        </w:rPr>
        <w:t xml:space="preserve">; </w:t>
      </w:r>
      <w:hyperlink w:anchor="_ENREF_2" w:tooltip="He, 2022 #531" w:history="1">
        <w:r w:rsidR="00B5059A" w:rsidRPr="005F77AE">
          <w:rPr>
            <w:rFonts w:ascii="Times New Roman" w:eastAsia="SimSun" w:hAnsi="Times New Roman" w:cs="Times New Roman"/>
            <w:color w:val="3C4245"/>
            <w:sz w:val="24"/>
            <w:lang w:val="en-GB"/>
          </w:rPr>
          <w:t>He et al. 2022</w:t>
        </w:r>
      </w:hyperlink>
      <w:r w:rsidRPr="005F77AE">
        <w:rPr>
          <w:rFonts w:ascii="Times New Roman" w:eastAsia="SimSun" w:hAnsi="Times New Roman" w:cs="Times New Roman"/>
          <w:color w:val="3C4245"/>
          <w:sz w:val="24"/>
          <w:lang w:val="en-GB"/>
        </w:rPr>
        <w:t>)</w:t>
      </w:r>
      <w:r w:rsidRPr="005F77AE">
        <w:rPr>
          <w:rFonts w:ascii="Times New Roman" w:eastAsia="SimSun" w:hAnsi="Times New Roman" w:cs="Times New Roman"/>
          <w:color w:val="3C4245"/>
          <w:sz w:val="24"/>
          <w:lang w:val="en-GB"/>
        </w:rPr>
        <w:fldChar w:fldCharType="end"/>
      </w:r>
      <w:r w:rsidRPr="005F77AE">
        <w:rPr>
          <w:rFonts w:ascii="Times New Roman" w:eastAsia="SimSun" w:hAnsi="Times New Roman" w:cs="Times New Roman"/>
          <w:color w:val="3C4245"/>
          <w:sz w:val="24"/>
          <w:lang w:val="en-GB"/>
        </w:rPr>
        <w:t>.</w:t>
      </w:r>
    </w:p>
    <w:p w14:paraId="37AC34DD" w14:textId="1917785B" w:rsidR="00B5059A" w:rsidRPr="005F77AE" w:rsidRDefault="00000000">
      <w:pPr>
        <w:spacing w:line="360" w:lineRule="auto"/>
        <w:ind w:firstLine="720"/>
        <w:rPr>
          <w:rFonts w:ascii="Times New Roman" w:eastAsia="SimSun" w:hAnsi="Times New Roman" w:cs="Times New Roman"/>
          <w:color w:val="3C4245"/>
          <w:sz w:val="24"/>
        </w:rPr>
      </w:pPr>
      <w:r w:rsidRPr="005F77AE">
        <w:rPr>
          <w:rFonts w:ascii="Times New Roman" w:eastAsia="SimSun" w:hAnsi="Times New Roman" w:cs="Times New Roman"/>
          <w:color w:val="3C4245"/>
          <w:sz w:val="24"/>
          <w:lang w:val="en-GB"/>
        </w:rPr>
        <w:t>Heat has direct and indirect impacts on health issues (Figure 1</w:t>
      </w:r>
      <w:r w:rsidR="0014063B" w:rsidRPr="005F77AE">
        <w:rPr>
          <w:rFonts w:ascii="Times New Roman" w:eastAsia="SimSun" w:hAnsi="Times New Roman" w:cs="Times New Roman"/>
          <w:color w:val="3C4245"/>
          <w:sz w:val="24"/>
          <w:lang w:val="en-GB"/>
        </w:rPr>
        <w:t>.1</w:t>
      </w:r>
      <w:r w:rsidRPr="005F77AE">
        <w:rPr>
          <w:rFonts w:ascii="Times New Roman" w:eastAsia="SimSun" w:hAnsi="Times New Roman" w:cs="Times New Roman"/>
          <w:color w:val="3C4245"/>
          <w:sz w:val="24"/>
          <w:lang w:val="en-GB"/>
        </w:rPr>
        <w:t xml:space="preserve">). Excessive heat can directly cause dehydration and even the development of emergency hospitalizations and require immediate management, such as heat stroke, heat exhaustion, and heat syncope </w:t>
      </w:r>
      <w:r w:rsidRPr="005F77AE">
        <w:rPr>
          <w:rFonts w:ascii="Times New Roman" w:eastAsia="SimSun" w:hAnsi="Times New Roman" w:cs="Times New Roman"/>
          <w:color w:val="3C4245"/>
          <w:sz w:val="24"/>
          <w:lang w:val="en-GB"/>
        </w:rPr>
        <w:fldChar w:fldCharType="begin"/>
      </w:r>
      <w:r w:rsidRPr="005F77AE">
        <w:rPr>
          <w:rFonts w:ascii="Times New Roman" w:eastAsia="SimSun" w:hAnsi="Times New Roman" w:cs="Times New Roman"/>
          <w:color w:val="3C4245"/>
          <w:sz w:val="24"/>
          <w:lang w:val="en-GB"/>
        </w:rPr>
        <w:instrText xml:space="preserve"> ADDIN EN.CITE &lt;EndNote&gt;&lt;Cite&gt;&lt;Author&gt;WMO&lt;/Author&gt;&lt;Year&gt;2015&lt;/Year&gt;&lt;RecNum&gt;926&lt;/RecNum&gt;&lt;DisplayText&gt;(WMO and WHO 2015)&lt;/DisplayText&gt;&lt;record&gt;&lt;rec-number&gt;926&lt;/rec-number&gt;&lt;foreign-keys&gt;&lt;key app="EN" db-id="fra5rtwarx95suewpxcpfv0ndfpa2t2ppptv" timestamp="1683227461"&gt;926&lt;/key&gt;&lt;/foreign-keys&gt;&lt;ref-type name="Report"&gt;27&lt;/ref-type&gt;&lt;contributors&gt;&lt;authors&gt;&lt;author&gt;WMO&lt;/author&gt;&lt;author&gt;WHO&lt;/author&gt;&lt;/authors&gt;&lt;secondary-authors&gt;&lt;author&gt;McGregor, G.R.&lt;/author&gt;&lt;author&gt;Bessemoulin, P.&lt;/author&gt;&lt;author&gt;Ebi, K.&lt;/author&gt;&lt;author&gt;Menne, B.&lt;/author&gt;&lt;/secondary-authors&gt;&lt;tertiary-authors&gt;&lt;author&gt;World Meteorological Organization (WMO)&lt;/author&gt;&lt;author&gt;World Health Organization (WHO)&lt;/author&gt;&lt;/tertiary-authors&gt;&lt;/contributors&gt;&lt;titles&gt;&lt;title&gt;Heatwaves and Health: Guidance on Warning-System Development&lt;/title&gt;&lt;/titles&gt;&lt;dates&gt;&lt;year&gt;2015&lt;/year&gt;&lt;/dates&gt;&lt;urls&gt;&lt;related-urls&gt;&lt;url&gt;https://www.who.int/publications/m/item/heatwaves-and-health--guidance-on-warning-system-development&lt;/url&gt;&lt;/related-urls&gt;&lt;/urls&gt;&lt;access-date&gt;04 May 2023&lt;/access-date&gt;&lt;/record&gt;&lt;/Cite&gt;&lt;/EndNote&gt;</w:instrText>
      </w:r>
      <w:r w:rsidRPr="005F77AE">
        <w:rPr>
          <w:rFonts w:ascii="Times New Roman" w:eastAsia="SimSun" w:hAnsi="Times New Roman" w:cs="Times New Roman"/>
          <w:color w:val="3C4245"/>
          <w:sz w:val="24"/>
          <w:lang w:val="en-GB"/>
        </w:rPr>
        <w:fldChar w:fldCharType="separate"/>
      </w:r>
      <w:r w:rsidRPr="005F77AE">
        <w:rPr>
          <w:rFonts w:ascii="Times New Roman" w:eastAsia="SimSun" w:hAnsi="Times New Roman" w:cs="Times New Roman"/>
          <w:color w:val="3C4245"/>
          <w:sz w:val="24"/>
          <w:lang w:val="en-GB"/>
        </w:rPr>
        <w:t>(</w:t>
      </w:r>
      <w:hyperlink w:anchor="_ENREF_10" w:tooltip="WMO, 2015 #926" w:history="1">
        <w:r w:rsidR="00B5059A" w:rsidRPr="005F77AE">
          <w:rPr>
            <w:rFonts w:ascii="Times New Roman" w:eastAsia="SimSun" w:hAnsi="Times New Roman" w:cs="Times New Roman"/>
            <w:color w:val="3C4245"/>
            <w:sz w:val="24"/>
            <w:lang w:val="en-GB"/>
          </w:rPr>
          <w:t>WMO and WHO 2015</w:t>
        </w:r>
      </w:hyperlink>
      <w:r w:rsidRPr="005F77AE">
        <w:rPr>
          <w:rFonts w:ascii="Times New Roman" w:eastAsia="SimSun" w:hAnsi="Times New Roman" w:cs="Times New Roman"/>
          <w:color w:val="3C4245"/>
          <w:sz w:val="24"/>
          <w:lang w:val="en-GB"/>
        </w:rPr>
        <w:t>)</w:t>
      </w:r>
      <w:r w:rsidRPr="005F77AE">
        <w:rPr>
          <w:rFonts w:ascii="Times New Roman" w:eastAsia="SimSun" w:hAnsi="Times New Roman" w:cs="Times New Roman"/>
          <w:color w:val="3C4245"/>
          <w:sz w:val="24"/>
          <w:lang w:val="en-GB"/>
        </w:rPr>
        <w:fldChar w:fldCharType="end"/>
      </w:r>
      <w:r w:rsidRPr="005F77AE">
        <w:rPr>
          <w:rFonts w:ascii="Times New Roman" w:eastAsia="SimSun" w:hAnsi="Times New Roman" w:cs="Times New Roman"/>
          <w:color w:val="3C4245"/>
          <w:sz w:val="24"/>
          <w:lang w:val="en-GB"/>
        </w:rPr>
        <w:t xml:space="preserve">. Indirectly, it can alter human behaviours, increase the transmission of diseases, disrupt critical infrastructure and so on. </w:t>
      </w:r>
      <w:proofErr w:type="gramStart"/>
      <w:r w:rsidRPr="005F77AE">
        <w:rPr>
          <w:rFonts w:ascii="Times New Roman" w:eastAsia="SimSun" w:hAnsi="Times New Roman" w:cs="Times New Roman"/>
          <w:color w:val="3C4245"/>
          <w:sz w:val="24"/>
        </w:rPr>
        <w:t>Thus</w:t>
      </w:r>
      <w:proofErr w:type="gramEnd"/>
      <w:r w:rsidRPr="005F77AE">
        <w:rPr>
          <w:rFonts w:ascii="Times New Roman" w:eastAsia="SimSun" w:hAnsi="Times New Roman" w:cs="Times New Roman"/>
          <w:color w:val="3C4245"/>
          <w:sz w:val="24"/>
        </w:rPr>
        <w:t xml:space="preserve"> establishment of </w:t>
      </w:r>
      <w:proofErr w:type="gramStart"/>
      <w:r w:rsidRPr="005F77AE">
        <w:rPr>
          <w:rFonts w:ascii="Times New Roman" w:eastAsia="SimSun" w:hAnsi="Times New Roman" w:cs="Times New Roman"/>
          <w:color w:val="3C4245"/>
          <w:sz w:val="24"/>
        </w:rPr>
        <w:t>the protection</w:t>
      </w:r>
      <w:proofErr w:type="gramEnd"/>
      <w:r w:rsidRPr="005F77AE">
        <w:rPr>
          <w:rFonts w:ascii="Times New Roman" w:eastAsia="SimSun" w:hAnsi="Times New Roman" w:cs="Times New Roman"/>
          <w:color w:val="3C4245"/>
          <w:sz w:val="24"/>
        </w:rPr>
        <w:t xml:space="preserve"> in addressing the above issues is very necessary, as does increasing the resilience of the city as well as protecting citizen health. </w:t>
      </w:r>
    </w:p>
    <w:p w14:paraId="6474C904" w14:textId="77777777" w:rsidR="00B5059A" w:rsidRDefault="00B5059A">
      <w:pPr>
        <w:spacing w:line="360" w:lineRule="auto"/>
        <w:rPr>
          <w:rFonts w:ascii="Times New Roman" w:eastAsia="SimSun" w:hAnsi="Times New Roman" w:cs="Times New Roman"/>
          <w:color w:val="3C4245"/>
          <w:sz w:val="24"/>
          <w:lang w:val="en-GB"/>
        </w:rPr>
      </w:pPr>
    </w:p>
    <w:p w14:paraId="6F508A46" w14:textId="1CF0CB7A" w:rsidR="00B5059A" w:rsidRDefault="00000000" w:rsidP="009669B9">
      <w:pPr>
        <w:spacing w:line="360" w:lineRule="auto"/>
        <w:jc w:val="center"/>
        <w:rPr>
          <w:rFonts w:ascii="Times New Roman" w:eastAsia="SimSun" w:hAnsi="Times New Roman" w:cs="Times New Roman"/>
          <w:color w:val="3C4245"/>
          <w:sz w:val="24"/>
          <w:lang w:val="en-GB"/>
        </w:rPr>
      </w:pPr>
      <w:r>
        <w:rPr>
          <w:rFonts w:ascii="Times New Roman" w:eastAsia="SimSun" w:hAnsi="Times New Roman" w:cs="Times New Roman"/>
          <w:noProof/>
          <w:color w:val="3C4245"/>
          <w:sz w:val="24"/>
        </w:rPr>
        <w:drawing>
          <wp:inline distT="0" distB="0" distL="114300" distR="114300" wp14:anchorId="126C4C9A" wp14:editId="5FC377F4">
            <wp:extent cx="5716905" cy="3192780"/>
            <wp:effectExtent l="0" t="0" r="17145" b="7620"/>
            <wp:docPr id="1" name="图片 1" descr="1683653563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3653563822"/>
                    <pic:cNvPicPr>
                      <a:picLocks noChangeAspect="1"/>
                    </pic:cNvPicPr>
                  </pic:nvPicPr>
                  <pic:blipFill>
                    <a:blip r:embed="rId7"/>
                    <a:stretch>
                      <a:fillRect/>
                    </a:stretch>
                  </pic:blipFill>
                  <pic:spPr>
                    <a:xfrm>
                      <a:off x="0" y="0"/>
                      <a:ext cx="5716905" cy="3192780"/>
                    </a:xfrm>
                    <a:prstGeom prst="rect">
                      <a:avLst/>
                    </a:prstGeom>
                  </pic:spPr>
                </pic:pic>
              </a:graphicData>
            </a:graphic>
          </wp:inline>
        </w:drawing>
      </w:r>
      <w:r w:rsidRPr="009669B9">
        <w:rPr>
          <w:rFonts w:ascii="Times New Roman" w:eastAsia="SimSun" w:hAnsi="Times New Roman" w:cs="Times New Roman"/>
          <w:b/>
          <w:bCs/>
          <w:color w:val="3C4245"/>
          <w:sz w:val="24"/>
        </w:rPr>
        <w:t>Figure 1.</w:t>
      </w:r>
      <w:r w:rsidR="001A38D9" w:rsidRPr="009669B9">
        <w:rPr>
          <w:rFonts w:ascii="Times New Roman" w:eastAsia="SimSun" w:hAnsi="Times New Roman" w:cs="Times New Roman"/>
          <w:b/>
          <w:bCs/>
          <w:color w:val="3C4245"/>
          <w:sz w:val="24"/>
        </w:rPr>
        <w:t>1</w:t>
      </w:r>
      <w:r>
        <w:rPr>
          <w:rFonts w:ascii="Times New Roman" w:eastAsia="SimSun" w:hAnsi="Times New Roman" w:cs="Times New Roman"/>
          <w:color w:val="3C4245"/>
          <w:sz w:val="24"/>
        </w:rPr>
        <w:t xml:space="preserve"> </w:t>
      </w:r>
      <w:r>
        <w:rPr>
          <w:rFonts w:ascii="Times New Roman" w:eastAsia="SimSun" w:hAnsi="Times New Roman" w:cs="Times New Roman"/>
          <w:color w:val="3C4245"/>
          <w:sz w:val="24"/>
          <w:lang w:val="en-GB"/>
        </w:rPr>
        <w:t>The impacts of extreme heat on health</w:t>
      </w:r>
      <w:r>
        <w:rPr>
          <w:rFonts w:ascii="Times New Roman" w:eastAsia="SimSun" w:hAnsi="Times New Roman" w:cs="Times New Roman" w:hint="eastAsia"/>
          <w:color w:val="3C4245"/>
          <w:sz w:val="24"/>
        </w:rPr>
        <w:t xml:space="preserve"> </w:t>
      </w:r>
      <w:r w:rsidR="001A38D9">
        <w:rPr>
          <w:rFonts w:ascii="Times New Roman" w:eastAsia="SimSun" w:hAnsi="Times New Roman" w:cs="Times New Roman" w:hint="eastAsia"/>
          <w:color w:val="3C4245"/>
          <w:sz w:val="24"/>
        </w:rPr>
        <w:t>(</w:t>
      </w:r>
      <w:r>
        <w:rPr>
          <w:rFonts w:ascii="Times New Roman" w:eastAsia="SimSun" w:hAnsi="Times New Roman" w:cs="Times New Roman" w:hint="eastAsia"/>
          <w:color w:val="3C4245"/>
          <w:sz w:val="24"/>
        </w:rPr>
        <w:t>WHO Heat and Health, 2023</w:t>
      </w:r>
      <w:r w:rsidR="001A38D9">
        <w:rPr>
          <w:rFonts w:ascii="Times New Roman" w:eastAsia="SimSun" w:hAnsi="Times New Roman" w:cs="Times New Roman"/>
          <w:color w:val="3C4245"/>
          <w:sz w:val="24"/>
        </w:rPr>
        <w:t>)</w:t>
      </w:r>
    </w:p>
    <w:p w14:paraId="7FD587E0" w14:textId="77777777" w:rsidR="00B5059A" w:rsidRDefault="00B5059A">
      <w:pPr>
        <w:spacing w:line="360" w:lineRule="auto"/>
        <w:rPr>
          <w:rFonts w:ascii="Times New Roman" w:eastAsia="SimSun" w:hAnsi="Times New Roman" w:cs="Times New Roman"/>
          <w:color w:val="3C4245"/>
          <w:sz w:val="24"/>
        </w:rPr>
      </w:pPr>
    </w:p>
    <w:p w14:paraId="3DCAA4AC" w14:textId="77777777" w:rsidR="00B5059A" w:rsidRDefault="00000000">
      <w:pPr>
        <w:spacing w:line="360" w:lineRule="auto"/>
        <w:rPr>
          <w:rFonts w:ascii="Times New Roman" w:eastAsia="SimSun" w:hAnsi="Times New Roman" w:cs="Times New Roman"/>
          <w:b/>
          <w:bCs/>
          <w:color w:val="3C4245"/>
          <w:sz w:val="24"/>
        </w:rPr>
      </w:pPr>
      <w:r>
        <w:rPr>
          <w:rFonts w:ascii="Times New Roman" w:eastAsia="SimSun" w:hAnsi="Times New Roman" w:cs="Times New Roman" w:hint="eastAsia"/>
          <w:b/>
          <w:bCs/>
          <w:color w:val="3C4245"/>
          <w:sz w:val="24"/>
        </w:rPr>
        <w:lastRenderedPageBreak/>
        <w:t>Air</w:t>
      </w:r>
    </w:p>
    <w:p w14:paraId="221C1D8C" w14:textId="77777777" w:rsidR="00B5059A" w:rsidRPr="005F77AE" w:rsidRDefault="00000000">
      <w:pPr>
        <w:spacing w:line="360" w:lineRule="auto"/>
        <w:ind w:firstLine="720"/>
        <w:rPr>
          <w:rFonts w:ascii="Times New Roman" w:eastAsia="SimSun" w:hAnsi="Times New Roman" w:cs="Times New Roman"/>
          <w:color w:val="3C4245"/>
          <w:sz w:val="24"/>
        </w:rPr>
      </w:pPr>
      <w:r w:rsidRPr="005F77AE">
        <w:rPr>
          <w:rFonts w:ascii="Times New Roman" w:eastAsia="SimSun" w:hAnsi="Times New Roman" w:cs="Times New Roman"/>
          <w:color w:val="3C4245"/>
          <w:sz w:val="24"/>
        </w:rPr>
        <w:t xml:space="preserve">Air pollution is the presence of toxic chemicals or compounds (including those of biological origin) in the air, at levels that are one of the greatest environmental risks to health </w:t>
      </w:r>
      <w:r w:rsidRPr="005F77AE">
        <w:rPr>
          <w:rFonts w:ascii="Times New Roman" w:eastAsia="SimSun" w:hAnsi="Times New Roman" w:cs="Times New Roman" w:hint="eastAsia"/>
          <w:color w:val="3C4245"/>
          <w:sz w:val="24"/>
        </w:rPr>
        <w:t>(</w:t>
      </w:r>
      <w:hyperlink r:id="rId8" w:tgtFrame="https://xueshu.baidu.com/usercenter/paper/_blank" w:history="1">
        <w:r w:rsidR="00B5059A" w:rsidRPr="005F77AE">
          <w:rPr>
            <w:rFonts w:ascii="Times New Roman" w:eastAsia="SimSun" w:hAnsi="Times New Roman" w:cs="Times New Roman"/>
            <w:color w:val="3C4245"/>
            <w:sz w:val="24"/>
          </w:rPr>
          <w:t>Seinfeld</w:t>
        </w:r>
      </w:hyperlink>
      <w:r w:rsidRPr="005F77AE">
        <w:rPr>
          <w:rFonts w:ascii="Times New Roman" w:eastAsia="SimSun" w:hAnsi="Times New Roman" w:cs="Times New Roman"/>
          <w:color w:val="3C4245"/>
          <w:sz w:val="24"/>
        </w:rPr>
        <w:t xml:space="preserve"> and </w:t>
      </w:r>
      <w:proofErr w:type="spellStart"/>
      <w:r w:rsidRPr="005F77AE">
        <w:rPr>
          <w:rFonts w:ascii="Times New Roman" w:eastAsia="SimSun" w:hAnsi="Times New Roman" w:cs="Times New Roman"/>
          <w:color w:val="3C4245"/>
          <w:sz w:val="24"/>
        </w:rPr>
        <w:t>Pandis</w:t>
      </w:r>
      <w:proofErr w:type="spellEnd"/>
      <w:r w:rsidRPr="005F77AE">
        <w:rPr>
          <w:rFonts w:ascii="Times New Roman" w:eastAsia="SimSun" w:hAnsi="Times New Roman" w:cs="Times New Roman"/>
          <w:color w:val="3C4245"/>
          <w:sz w:val="24"/>
        </w:rPr>
        <w:t>, 1998</w:t>
      </w:r>
      <w:r w:rsidRPr="005F77AE">
        <w:rPr>
          <w:rFonts w:ascii="Times New Roman" w:eastAsia="SimSun" w:hAnsi="Times New Roman" w:cs="Times New Roman" w:hint="eastAsia"/>
          <w:color w:val="3C4245"/>
          <w:sz w:val="24"/>
        </w:rPr>
        <w:t>)</w:t>
      </w:r>
      <w:r w:rsidRPr="005F77AE">
        <w:rPr>
          <w:rFonts w:ascii="Times New Roman" w:eastAsia="SimSun" w:hAnsi="Times New Roman" w:cs="Times New Roman"/>
          <w:color w:val="3C4245"/>
          <w:sz w:val="24"/>
        </w:rPr>
        <w:t>. Epidemiological studies revealed that air pollution is a risk factor for diseases of public health importance such as cardiovascular diseases for instance stroke and ischemic heart disease, cancers, and respiratory diseases (Cohen et al., 2015). Ambient (outdoor) air pollution is estimated to have caused 4.2 million premature deaths worldwide in 2019 (WHO, 2023).</w:t>
      </w:r>
    </w:p>
    <w:p w14:paraId="2BA64D24" w14:textId="77777777" w:rsidR="00B5059A" w:rsidRPr="00CE26D4" w:rsidRDefault="00000000">
      <w:pPr>
        <w:spacing w:line="360" w:lineRule="auto"/>
        <w:ind w:firstLine="720"/>
        <w:rPr>
          <w:rFonts w:ascii="Times New Roman" w:eastAsia="SimSun" w:hAnsi="Times New Roman" w:cs="Times New Roman"/>
          <w:color w:val="3C4245"/>
          <w:sz w:val="24"/>
        </w:rPr>
      </w:pPr>
      <w:r w:rsidRPr="00CE26D4">
        <w:rPr>
          <w:rFonts w:ascii="Times New Roman" w:eastAsia="SimSun" w:hAnsi="Times New Roman" w:cs="Times New Roman"/>
          <w:color w:val="3C4245"/>
          <w:sz w:val="24"/>
        </w:rPr>
        <w:t xml:space="preserve">World Health Organization (WHO) data show that almost all of the global population (99%) breathes highly polluted air that exceeds WHO limits (WHO, 2023). WHO aggregates global particulate matter data and collates them into reports. Figure 1 shows the annual mean concentration and the coverage of the ground measurements of PM2.5 for countries around the world from 2010-2016. It shows that countries with low- and middle-income suffer from the highest exposures. </w:t>
      </w:r>
    </w:p>
    <w:p w14:paraId="25EA2A48" w14:textId="148F2144" w:rsidR="00B5059A" w:rsidRPr="00CE26D4" w:rsidRDefault="00000000">
      <w:pPr>
        <w:spacing w:line="360" w:lineRule="auto"/>
        <w:ind w:firstLine="720"/>
        <w:rPr>
          <w:rFonts w:ascii="Times New Roman" w:eastAsia="SimSun" w:hAnsi="Times New Roman" w:cs="Times New Roman"/>
          <w:color w:val="3C4245"/>
          <w:sz w:val="24"/>
        </w:rPr>
      </w:pPr>
      <w:r w:rsidRPr="00CE26D4">
        <w:rPr>
          <w:rFonts w:ascii="Times New Roman" w:eastAsia="SimSun" w:hAnsi="Times New Roman" w:cs="Times New Roman"/>
          <w:color w:val="3C4245"/>
          <w:sz w:val="24"/>
        </w:rPr>
        <w:t>Referring to sources of air pollutants, the burning of fossil fuels motor vehicles and power stations are the major source, which is one of the biggest causes of air pollution in developing countries</w:t>
      </w:r>
      <w:r w:rsidR="0014063B" w:rsidRPr="00CE26D4">
        <w:rPr>
          <w:rFonts w:ascii="Times New Roman" w:eastAsia="SimSun" w:hAnsi="Times New Roman" w:cs="Times New Roman"/>
          <w:color w:val="3C4245"/>
          <w:sz w:val="24"/>
        </w:rPr>
        <w:t>.</w:t>
      </w:r>
      <w:r w:rsidRPr="00CE26D4">
        <w:rPr>
          <w:rFonts w:ascii="Times New Roman" w:eastAsia="SimSun" w:hAnsi="Times New Roman" w:cs="Times New Roman"/>
          <w:color w:val="3C4245"/>
          <w:sz w:val="24"/>
        </w:rPr>
        <w:t xml:space="preserve"> As a typical large developing country, China's growing energy consumption, reliance on coal, and rapidly increasing vehicle population cause severe air pollution. Air pollution concentration levels tend to increase appreciably or even rise sharply if no effective measures are taken when economic development reaches an intermediate stage (WHO, 2013). Hence, there is a growing need to create better living spaces and ensure human well-being. Sustainable urban planning and climate control measures are required to maintain and improve public health.</w:t>
      </w:r>
    </w:p>
    <w:p w14:paraId="2364DB95" w14:textId="77777777" w:rsidR="00B5059A" w:rsidRDefault="00000000" w:rsidP="009669B9">
      <w:pPr>
        <w:spacing w:line="360" w:lineRule="auto"/>
        <w:jc w:val="center"/>
        <w:rPr>
          <w:rFonts w:ascii="Times New Roman" w:eastAsia="SimSun" w:hAnsi="Times New Roman" w:cs="Times New Roman"/>
          <w:color w:val="3C4245"/>
          <w:sz w:val="24"/>
        </w:rPr>
      </w:pPr>
      <w:r>
        <w:rPr>
          <w:rFonts w:ascii="Times New Roman" w:eastAsia="SimSun" w:hAnsi="Times New Roman" w:cs="Times New Roman"/>
          <w:noProof/>
          <w:color w:val="3C4245"/>
          <w:sz w:val="24"/>
        </w:rPr>
        <w:drawing>
          <wp:inline distT="0" distB="0" distL="0" distR="0" wp14:anchorId="68DDAB79" wp14:editId="1B082703">
            <wp:extent cx="4853940" cy="2259965"/>
            <wp:effectExtent l="0" t="0" r="3810" b="6985"/>
            <wp:docPr id="18220809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080958" name="图片 1"/>
                    <pic:cNvPicPr>
                      <a:picLocks noChangeAspect="1"/>
                    </pic:cNvPicPr>
                  </pic:nvPicPr>
                  <pic:blipFill>
                    <a:blip r:embed="rId9"/>
                    <a:stretch>
                      <a:fillRect/>
                    </a:stretch>
                  </pic:blipFill>
                  <pic:spPr>
                    <a:xfrm>
                      <a:off x="0" y="0"/>
                      <a:ext cx="4857776" cy="2262205"/>
                    </a:xfrm>
                    <a:prstGeom prst="rect">
                      <a:avLst/>
                    </a:prstGeom>
                  </pic:spPr>
                </pic:pic>
              </a:graphicData>
            </a:graphic>
          </wp:inline>
        </w:drawing>
      </w:r>
    </w:p>
    <w:p w14:paraId="6F48AB48" w14:textId="05D8D08A" w:rsidR="00B5059A" w:rsidRDefault="00000000" w:rsidP="009669B9">
      <w:pPr>
        <w:spacing w:line="360" w:lineRule="auto"/>
        <w:jc w:val="center"/>
        <w:rPr>
          <w:rFonts w:ascii="Times New Roman" w:eastAsia="SimSun" w:hAnsi="Times New Roman" w:cs="Times New Roman"/>
          <w:color w:val="3C4245"/>
          <w:sz w:val="24"/>
        </w:rPr>
      </w:pPr>
      <w:r w:rsidRPr="009669B9">
        <w:rPr>
          <w:rFonts w:ascii="Times New Roman" w:eastAsia="SimSun" w:hAnsi="Times New Roman" w:cs="Times New Roman"/>
          <w:b/>
          <w:bCs/>
          <w:color w:val="3C4245"/>
          <w:sz w:val="24"/>
        </w:rPr>
        <w:t xml:space="preserve">Figure </w:t>
      </w:r>
      <w:r w:rsidR="00E37B1C" w:rsidRPr="009669B9">
        <w:rPr>
          <w:rFonts w:ascii="Times New Roman" w:eastAsia="SimSun" w:hAnsi="Times New Roman" w:cs="Times New Roman"/>
          <w:b/>
          <w:bCs/>
          <w:color w:val="3C4245"/>
          <w:sz w:val="24"/>
        </w:rPr>
        <w:t>1.</w:t>
      </w:r>
      <w:r w:rsidR="0014063B">
        <w:rPr>
          <w:rFonts w:ascii="Times New Roman" w:eastAsia="SimSun" w:hAnsi="Times New Roman" w:cs="Times New Roman"/>
          <w:b/>
          <w:bCs/>
          <w:color w:val="3C4245"/>
          <w:sz w:val="24"/>
        </w:rPr>
        <w:t>2</w:t>
      </w:r>
      <w:r>
        <w:rPr>
          <w:rFonts w:ascii="Times New Roman" w:eastAsia="SimSun" w:hAnsi="Times New Roman" w:cs="Times New Roman"/>
          <w:color w:val="3C4245"/>
          <w:sz w:val="24"/>
        </w:rPr>
        <w:t xml:space="preserve"> Location of the monitoring stations and PM2.5 concentration in more than 4000 human settlements, 2010‐2016 (WHO, 2018)</w:t>
      </w:r>
    </w:p>
    <w:p w14:paraId="51DFE649" w14:textId="69C4F38E" w:rsidR="00B5059A" w:rsidRDefault="00000000" w:rsidP="009669B9">
      <w:pPr>
        <w:spacing w:line="360" w:lineRule="auto"/>
        <w:ind w:firstLine="720"/>
        <w:rPr>
          <w:rFonts w:ascii="Times New Roman" w:eastAsia="SimSun" w:hAnsi="Times New Roman" w:cs="Times New Roman"/>
          <w:b/>
          <w:bCs/>
          <w:color w:val="3C4245"/>
          <w:sz w:val="24"/>
        </w:rPr>
      </w:pPr>
      <w:r>
        <w:rPr>
          <w:rFonts w:ascii="Times New Roman" w:eastAsia="SimSun" w:hAnsi="Times New Roman" w:cs="Times New Roman"/>
          <w:color w:val="3C4245"/>
          <w:sz w:val="24"/>
        </w:rPr>
        <w:lastRenderedPageBreak/>
        <w:t xml:space="preserve">As shown in Figure </w:t>
      </w:r>
      <w:r w:rsidR="00E37B1C">
        <w:rPr>
          <w:rFonts w:ascii="Times New Roman" w:eastAsia="SimSun" w:hAnsi="Times New Roman" w:cs="Times New Roman"/>
          <w:color w:val="3C4245"/>
          <w:sz w:val="24"/>
        </w:rPr>
        <w:t>1.</w:t>
      </w:r>
      <w:r w:rsidR="0014063B">
        <w:rPr>
          <w:rFonts w:ascii="Times New Roman" w:eastAsia="SimSun" w:hAnsi="Times New Roman" w:cs="Times New Roman"/>
          <w:color w:val="3C4245"/>
          <w:sz w:val="24"/>
        </w:rPr>
        <w:t>2</w:t>
      </w:r>
      <w:r>
        <w:rPr>
          <w:rFonts w:ascii="Times New Roman" w:eastAsia="SimSun" w:hAnsi="Times New Roman" w:cs="Times New Roman"/>
          <w:color w:val="3C4245"/>
          <w:sz w:val="24"/>
        </w:rPr>
        <w:t>, the location of the PM2.5 concentration in more than 4000 monitoring stations was listed on the map. Particulate matter (PM), carbon monoxide (CO), ozone (O</w:t>
      </w:r>
      <w:r w:rsidRPr="009669B9">
        <w:rPr>
          <w:rFonts w:ascii="Times New Roman" w:eastAsia="SimSun" w:hAnsi="Times New Roman" w:cs="Times New Roman"/>
          <w:color w:val="3C4245"/>
          <w:sz w:val="24"/>
          <w:vertAlign w:val="subscript"/>
        </w:rPr>
        <w:t>3</w:t>
      </w:r>
      <w:r>
        <w:rPr>
          <w:rFonts w:ascii="Times New Roman" w:eastAsia="SimSun" w:hAnsi="Times New Roman" w:cs="Times New Roman"/>
          <w:color w:val="3C4245"/>
          <w:sz w:val="24"/>
        </w:rPr>
        <w:t>), nitrogen dioxide (NO</w:t>
      </w:r>
      <w:r w:rsidRPr="009669B9">
        <w:rPr>
          <w:rFonts w:ascii="Times New Roman" w:eastAsia="SimSun" w:hAnsi="Times New Roman" w:cs="Times New Roman"/>
          <w:color w:val="3C4245"/>
          <w:sz w:val="24"/>
          <w:vertAlign w:val="subscript"/>
        </w:rPr>
        <w:t>2</w:t>
      </w:r>
      <w:r>
        <w:rPr>
          <w:rFonts w:ascii="Times New Roman" w:eastAsia="SimSun" w:hAnsi="Times New Roman" w:cs="Times New Roman"/>
          <w:color w:val="3C4245"/>
          <w:sz w:val="24"/>
        </w:rPr>
        <w:t>) and sulfur dioxide (SO</w:t>
      </w:r>
      <w:r w:rsidRPr="009669B9">
        <w:rPr>
          <w:rFonts w:ascii="Times New Roman" w:eastAsia="SimSun" w:hAnsi="Times New Roman" w:cs="Times New Roman"/>
          <w:color w:val="3C4245"/>
          <w:sz w:val="24"/>
          <w:vertAlign w:val="subscript"/>
        </w:rPr>
        <w:t>2</w:t>
      </w:r>
      <w:r>
        <w:rPr>
          <w:rFonts w:ascii="Times New Roman" w:eastAsia="SimSun" w:hAnsi="Times New Roman" w:cs="Times New Roman"/>
          <w:color w:val="3C4245"/>
          <w:sz w:val="24"/>
        </w:rPr>
        <w:t xml:space="preserve">) are the main pollutants of major public health concern (WHO, 2023). Harmful pollutants exposure is proven to be associated with respiratory illness, hospital admission and premature death (Huangfu and Atkinson, 2020). The health impacts of ambient PM2.5 have become a great concern worldwide. Epidemiological investigations have shown that PM2.5 exposure contributes to cardiopulmonary morbidity and mortality, the incidence and development of diabetes mellitus </w:t>
      </w:r>
    </w:p>
    <w:p w14:paraId="1592658D" w14:textId="77777777" w:rsidR="00B5059A" w:rsidRDefault="00000000">
      <w:pPr>
        <w:spacing w:line="360" w:lineRule="auto"/>
        <w:rPr>
          <w:rFonts w:ascii="Times New Roman" w:eastAsia="SimSun" w:hAnsi="Times New Roman" w:cs="Times New Roman"/>
          <w:color w:val="3C4245"/>
          <w:sz w:val="24"/>
        </w:rPr>
      </w:pPr>
      <w:r>
        <w:rPr>
          <w:rFonts w:ascii="Times New Roman" w:eastAsia="SimSun" w:hAnsi="Times New Roman" w:cs="Times New Roman"/>
          <w:color w:val="3C4245"/>
          <w:sz w:val="24"/>
        </w:rPr>
        <w:t>and adverse birth outcomes (Feng et al., 2016). Considering the significant health risks posed by pollutants, interventions at regional, national and international levels are needed to reduce levels of air pollution.</w:t>
      </w:r>
    </w:p>
    <w:p w14:paraId="2C4E7C55" w14:textId="77777777" w:rsidR="00B5059A" w:rsidRDefault="00B5059A">
      <w:pPr>
        <w:spacing w:line="360" w:lineRule="auto"/>
        <w:rPr>
          <w:rFonts w:ascii="Times New Roman" w:eastAsia="SimSun" w:hAnsi="Times New Roman" w:cs="Times New Roman"/>
          <w:color w:val="3C4245"/>
          <w:sz w:val="24"/>
        </w:rPr>
      </w:pPr>
    </w:p>
    <w:p w14:paraId="5A04A5DD" w14:textId="77777777" w:rsidR="00B5059A" w:rsidRDefault="00000000">
      <w:pPr>
        <w:spacing w:line="360" w:lineRule="auto"/>
        <w:rPr>
          <w:rFonts w:ascii="Times New Roman" w:eastAsia="SimSun" w:hAnsi="Times New Roman" w:cs="Times New Roman"/>
          <w:b/>
          <w:bCs/>
          <w:color w:val="3C4245"/>
          <w:sz w:val="24"/>
        </w:rPr>
      </w:pPr>
      <w:r>
        <w:rPr>
          <w:rFonts w:ascii="Times New Roman" w:eastAsia="SimSun" w:hAnsi="Times New Roman" w:cs="Times New Roman" w:hint="eastAsia"/>
          <w:b/>
          <w:bCs/>
          <w:color w:val="3C4245"/>
          <w:sz w:val="24"/>
        </w:rPr>
        <w:t>Water</w:t>
      </w:r>
    </w:p>
    <w:p w14:paraId="508D3357" w14:textId="4A612D84" w:rsidR="00E37B1C" w:rsidRDefault="00000000" w:rsidP="00E37B1C">
      <w:pPr>
        <w:spacing w:line="360" w:lineRule="auto"/>
        <w:ind w:firstLine="720"/>
        <w:rPr>
          <w:rFonts w:ascii="Times New Roman" w:eastAsia="SimSun" w:hAnsi="Times New Roman" w:cs="Times New Roman"/>
          <w:color w:val="3C4245"/>
          <w:sz w:val="24"/>
        </w:rPr>
      </w:pPr>
      <w:r>
        <w:rPr>
          <w:rFonts w:ascii="Times New Roman" w:eastAsia="SimSun" w:hAnsi="Times New Roman" w:cs="Times New Roman"/>
          <w:color w:val="3C4245"/>
          <w:sz w:val="24"/>
        </w:rPr>
        <w:t xml:space="preserve">Water in urban </w:t>
      </w:r>
      <w:r w:rsidR="00CE26D4">
        <w:rPr>
          <w:rFonts w:ascii="Times New Roman" w:eastAsia="SimSun" w:hAnsi="Times New Roman" w:cs="Times New Roman"/>
          <w:color w:val="3C4245"/>
          <w:sz w:val="24"/>
        </w:rPr>
        <w:t>is</w:t>
      </w:r>
      <w:r>
        <w:rPr>
          <w:rFonts w:ascii="Times New Roman" w:eastAsia="SimSun" w:hAnsi="Times New Roman" w:cs="Times New Roman"/>
          <w:color w:val="3C4245"/>
          <w:sz w:val="24"/>
        </w:rPr>
        <w:t xml:space="preserve"> necessary in terms of human daily activities needs and sanitation needs. </w:t>
      </w:r>
      <w:r w:rsidR="00E37B1C">
        <w:rPr>
          <w:rFonts w:ascii="Times New Roman" w:eastAsia="SimSun" w:hAnsi="Times New Roman" w:cs="Times New Roman"/>
          <w:color w:val="3C4245"/>
          <w:sz w:val="24"/>
        </w:rPr>
        <w:t>T</w:t>
      </w:r>
      <w:r>
        <w:rPr>
          <w:rFonts w:ascii="Times New Roman" w:eastAsia="SimSun" w:hAnsi="Times New Roman" w:cs="Times New Roman"/>
          <w:color w:val="3C4245"/>
          <w:sz w:val="24"/>
        </w:rPr>
        <w:t xml:space="preserve">he water quality and quantity played a vital role in city resilience. </w:t>
      </w:r>
      <w:r w:rsidR="00E37B1C">
        <w:rPr>
          <w:rFonts w:ascii="Times New Roman" w:eastAsia="SimSun" w:hAnsi="Times New Roman" w:cs="Times New Roman"/>
          <w:color w:val="3C4245"/>
          <w:sz w:val="24"/>
        </w:rPr>
        <w:t>H</w:t>
      </w:r>
      <w:r w:rsidR="00E37B1C">
        <w:rPr>
          <w:rFonts w:ascii="Times New Roman" w:eastAsia="SimSun" w:hAnsi="Times New Roman" w:cs="Times New Roman" w:hint="eastAsia"/>
          <w:color w:val="3C4245"/>
          <w:sz w:val="24"/>
        </w:rPr>
        <w:t>ygiene behavior by using clean water</w:t>
      </w:r>
      <w:r w:rsidR="00E37B1C">
        <w:rPr>
          <w:rFonts w:ascii="Times New Roman" w:eastAsia="SimSun" w:hAnsi="Times New Roman" w:cs="Times New Roman"/>
          <w:color w:val="3C4245"/>
          <w:sz w:val="24"/>
        </w:rPr>
        <w:t xml:space="preserve"> can significantly reduce </w:t>
      </w:r>
      <w:r w:rsidR="00E37B1C">
        <w:rPr>
          <w:rFonts w:ascii="Times New Roman" w:eastAsia="SimSun" w:hAnsi="Times New Roman" w:cs="Times New Roman" w:hint="eastAsia"/>
          <w:color w:val="3C4245"/>
          <w:sz w:val="24"/>
        </w:rPr>
        <w:t>respiratory infection</w:t>
      </w:r>
      <w:r w:rsidR="00E37B1C">
        <w:rPr>
          <w:rFonts w:ascii="Times New Roman" w:eastAsia="SimSun" w:hAnsi="Times New Roman" w:cs="Times New Roman"/>
          <w:color w:val="3C4245"/>
          <w:sz w:val="24"/>
        </w:rPr>
        <w:t>s</w:t>
      </w:r>
      <w:r w:rsidR="00E37B1C">
        <w:rPr>
          <w:rFonts w:ascii="Times New Roman" w:eastAsia="SimSun" w:hAnsi="Times New Roman" w:cs="Times New Roman" w:hint="eastAsia"/>
          <w:color w:val="3C4245"/>
          <w:sz w:val="24"/>
        </w:rPr>
        <w:t xml:space="preserve"> </w:t>
      </w:r>
      <w:r w:rsidR="00E37B1C">
        <w:rPr>
          <w:rFonts w:ascii="Times New Roman" w:eastAsia="SimSun" w:hAnsi="Times New Roman" w:cs="Times New Roman"/>
          <w:color w:val="3C4245"/>
          <w:sz w:val="24"/>
        </w:rPr>
        <w:t>(Howard et al., 2020). W</w:t>
      </w:r>
      <w:r>
        <w:rPr>
          <w:rFonts w:ascii="Times New Roman" w:eastAsia="SimSun" w:hAnsi="Times New Roman" w:cs="Times New Roman"/>
          <w:color w:val="3C4245"/>
          <w:sz w:val="24"/>
        </w:rPr>
        <w:t>ater quantity is limited, fresh water accounts for only 2.5% of the global water (</w:t>
      </w:r>
      <w:bookmarkStart w:id="0" w:name="bbb0110"/>
      <w:r>
        <w:rPr>
          <w:rFonts w:ascii="Times New Roman" w:eastAsia="SimSun" w:hAnsi="Times New Roman" w:cs="Times New Roman"/>
          <w:color w:val="3C4245"/>
          <w:sz w:val="24"/>
        </w:rPr>
        <w:fldChar w:fldCharType="begin"/>
      </w:r>
      <w:r>
        <w:rPr>
          <w:rFonts w:ascii="Times New Roman" w:eastAsia="SimSun" w:hAnsi="Times New Roman" w:cs="Times New Roman"/>
          <w:color w:val="3C4245"/>
          <w:sz w:val="24"/>
        </w:rPr>
        <w:instrText xml:space="preserve"> HYPERLINK "https://www.sciencedirect.com/science/article/pii/S0195925523000562" \l "bb0110" </w:instrText>
      </w:r>
      <w:r>
        <w:rPr>
          <w:rFonts w:ascii="Times New Roman" w:eastAsia="SimSun" w:hAnsi="Times New Roman" w:cs="Times New Roman"/>
          <w:color w:val="3C4245"/>
          <w:sz w:val="24"/>
        </w:rPr>
      </w:r>
      <w:r>
        <w:rPr>
          <w:rFonts w:ascii="Times New Roman" w:eastAsia="SimSun" w:hAnsi="Times New Roman" w:cs="Times New Roman"/>
          <w:color w:val="3C4245"/>
          <w:sz w:val="24"/>
        </w:rPr>
        <w:fldChar w:fldCharType="separate"/>
      </w:r>
      <w:r>
        <w:rPr>
          <w:rFonts w:ascii="Times New Roman" w:eastAsia="SimSun" w:hAnsi="Times New Roman" w:cs="Times New Roman"/>
          <w:color w:val="3C4245"/>
          <w:sz w:val="24"/>
        </w:rPr>
        <w:t>Tang et al., 2022</w:t>
      </w:r>
      <w:bookmarkEnd w:id="0"/>
      <w:r>
        <w:rPr>
          <w:rFonts w:ascii="Times New Roman" w:eastAsia="SimSun" w:hAnsi="Times New Roman" w:cs="Times New Roman"/>
          <w:color w:val="3C4245"/>
          <w:sz w:val="24"/>
        </w:rPr>
        <w:fldChar w:fldCharType="end"/>
      </w:r>
      <w:r>
        <w:rPr>
          <w:rFonts w:ascii="Times New Roman" w:eastAsia="SimSun" w:hAnsi="Times New Roman" w:cs="Times New Roman"/>
          <w:color w:val="3C4245"/>
          <w:sz w:val="24"/>
        </w:rPr>
        <w:t>), and the reliability of the water is heavily connected with human well-being.</w:t>
      </w:r>
      <w:r w:rsidR="00E37B1C">
        <w:rPr>
          <w:rFonts w:ascii="Times New Roman" w:eastAsia="SimSun" w:hAnsi="Times New Roman" w:cs="Times New Roman"/>
          <w:color w:val="3C4245"/>
          <w:sz w:val="24"/>
        </w:rPr>
        <w:t xml:space="preserve"> </w:t>
      </w:r>
      <w:r>
        <w:rPr>
          <w:rFonts w:ascii="Times New Roman" w:eastAsia="SimSun" w:hAnsi="Times New Roman" w:cs="Times New Roman"/>
          <w:sz w:val="24"/>
        </w:rPr>
        <w:t xml:space="preserve">United Nations </w:t>
      </w:r>
      <w:r>
        <w:rPr>
          <w:rFonts w:ascii="Times New Roman" w:eastAsia="SimSun" w:hAnsi="Times New Roman" w:cs="Times New Roman"/>
          <w:color w:val="3C4245"/>
          <w:sz w:val="24"/>
        </w:rPr>
        <w:t xml:space="preserve">Sustainable Development goals </w:t>
      </w:r>
      <w:proofErr w:type="spellStart"/>
      <w:r>
        <w:rPr>
          <w:rFonts w:ascii="Times New Roman" w:eastAsia="SimSun" w:hAnsi="Times New Roman" w:cs="Times New Roman"/>
          <w:color w:val="3C4245"/>
          <w:sz w:val="24"/>
        </w:rPr>
        <w:t>emphasise</w:t>
      </w:r>
      <w:proofErr w:type="spellEnd"/>
      <w:r>
        <w:rPr>
          <w:rFonts w:ascii="Times New Roman" w:eastAsia="SimSun" w:hAnsi="Times New Roman" w:cs="Times New Roman"/>
          <w:color w:val="3C4245"/>
          <w:sz w:val="24"/>
        </w:rPr>
        <w:t xml:space="preserve"> the sanitation and quantity needs for water in the city, to satisfy SDG 6, the Guidelines for Drinking-water Quality (GDWQ) provide the recommendations of the World Health Organization for managing the risk from hazards that may compromise the safety of drinking water, and assist water and health regulators and policymakers to maintain public health by supporting the development of national regulations and standards. </w:t>
      </w:r>
    </w:p>
    <w:p w14:paraId="1069EE0F" w14:textId="6D0CE959" w:rsidR="00B5059A" w:rsidRDefault="00B5059A">
      <w:pPr>
        <w:spacing w:line="360" w:lineRule="auto"/>
        <w:rPr>
          <w:rFonts w:ascii="Times New Roman" w:eastAsia="SimSun" w:hAnsi="Times New Roman" w:cs="Times New Roman"/>
          <w:color w:val="3C4245"/>
          <w:sz w:val="24"/>
        </w:rPr>
      </w:pPr>
    </w:p>
    <w:p w14:paraId="4ADE74EA" w14:textId="77777777" w:rsidR="00B5059A" w:rsidRDefault="00000000">
      <w:pPr>
        <w:spacing w:line="360" w:lineRule="auto"/>
        <w:rPr>
          <w:rFonts w:ascii="Times New Roman" w:eastAsia="SimSun" w:hAnsi="Times New Roman" w:cs="Times New Roman"/>
          <w:b/>
          <w:bCs/>
          <w:color w:val="3C4245"/>
          <w:sz w:val="24"/>
        </w:rPr>
      </w:pPr>
      <w:r>
        <w:rPr>
          <w:rFonts w:ascii="Times New Roman" w:eastAsia="SimSun" w:hAnsi="Times New Roman" w:cs="Times New Roman" w:hint="eastAsia"/>
          <w:b/>
          <w:bCs/>
          <w:color w:val="3C4245"/>
          <w:sz w:val="24"/>
        </w:rPr>
        <w:t>Flood</w:t>
      </w:r>
    </w:p>
    <w:p w14:paraId="358790AC" w14:textId="69F942C2" w:rsidR="00B5059A" w:rsidRDefault="00000000" w:rsidP="009669B9">
      <w:pPr>
        <w:spacing w:line="360" w:lineRule="auto"/>
        <w:rPr>
          <w:rFonts w:ascii="Times New Roman" w:eastAsia="SimSun" w:hAnsi="Times New Roman" w:cs="Times New Roman"/>
          <w:color w:val="3C4245"/>
          <w:sz w:val="24"/>
        </w:rPr>
      </w:pPr>
      <w:r>
        <w:rPr>
          <w:rFonts w:ascii="Times New Roman" w:eastAsia="SimSun" w:hAnsi="Times New Roman" w:cs="Times New Roman"/>
          <w:color w:val="3C4245"/>
          <w:sz w:val="24"/>
        </w:rPr>
        <w:tab/>
        <w:t>Over the last 20 years, flood events have occurred in 49 countries in the WHO European Region. These have caused more than 2000 deaths, other health effects, property losses, damage to health facilities, displacement and enormous economic costs ‎estimated at €70 billion</w:t>
      </w:r>
      <w:r w:rsidR="001A38D9">
        <w:rPr>
          <w:rFonts w:ascii="Times New Roman" w:eastAsia="SimSun" w:hAnsi="Times New Roman" w:cs="Times New Roman"/>
          <w:color w:val="3C4245"/>
          <w:sz w:val="24"/>
        </w:rPr>
        <w:t xml:space="preserve"> </w:t>
      </w:r>
      <w:r w:rsidR="00E84106" w:rsidRPr="00E84106">
        <w:rPr>
          <w:rFonts w:ascii="Times New Roman" w:eastAsia="SimSun" w:hAnsi="Times New Roman" w:cs="Times New Roman"/>
          <w:color w:val="3C4245"/>
          <w:sz w:val="24"/>
        </w:rPr>
        <w:t>(WHO Flooding, 2017)</w:t>
      </w:r>
      <w:r w:rsidR="00E37B1C">
        <w:rPr>
          <w:rFonts w:ascii="Times New Roman" w:eastAsia="SimSun" w:hAnsi="Times New Roman" w:cs="Times New Roman"/>
          <w:color w:val="3C4245"/>
          <w:sz w:val="24"/>
        </w:rPr>
        <w:t>.</w:t>
      </w:r>
      <w:r w:rsidR="00AD5280">
        <w:rPr>
          <w:rFonts w:ascii="Times New Roman" w:eastAsia="SimSun" w:hAnsi="Times New Roman" w:cs="Times New Roman"/>
          <w:color w:val="3C4245"/>
          <w:sz w:val="24"/>
        </w:rPr>
        <w:t xml:space="preserve"> </w:t>
      </w:r>
      <w:r>
        <w:rPr>
          <w:rFonts w:ascii="Times New Roman" w:eastAsia="SimSun" w:hAnsi="Times New Roman" w:cs="Times New Roman"/>
          <w:color w:val="3C4245"/>
          <w:sz w:val="24"/>
        </w:rPr>
        <w:t xml:space="preserve">Flooding is widely regarded as extreme water stress or land loss disaster in urban or rural areas on the mainland. Understanding flooding and increasing the robustness capacity against flood risk are important for human well-being. Flooding effects included accident and injury risk; </w:t>
      </w:r>
      <w:proofErr w:type="spellStart"/>
      <w:r w:rsidR="00E84106">
        <w:rPr>
          <w:rFonts w:ascii="Times New Roman" w:eastAsia="SimSun" w:hAnsi="Times New Roman" w:cs="Times New Roman"/>
          <w:color w:val="3C4245"/>
          <w:sz w:val="24"/>
        </w:rPr>
        <w:t>d</w:t>
      </w:r>
      <w:r>
        <w:rPr>
          <w:rFonts w:ascii="Times New Roman" w:eastAsia="SimSun" w:hAnsi="Times New Roman" w:cs="Times New Roman"/>
          <w:color w:val="3C4245"/>
          <w:sz w:val="24"/>
        </w:rPr>
        <w:t>iarrhoeal</w:t>
      </w:r>
      <w:proofErr w:type="spellEnd"/>
      <w:r>
        <w:rPr>
          <w:rFonts w:ascii="Times New Roman" w:eastAsia="SimSun" w:hAnsi="Times New Roman" w:cs="Times New Roman"/>
          <w:color w:val="3C4245"/>
          <w:sz w:val="24"/>
        </w:rPr>
        <w:t>/</w:t>
      </w:r>
      <w:r w:rsidR="00E84106">
        <w:rPr>
          <w:rFonts w:ascii="Times New Roman" w:eastAsia="SimSun" w:hAnsi="Times New Roman" w:cs="Times New Roman"/>
          <w:color w:val="3C4245"/>
          <w:sz w:val="24"/>
        </w:rPr>
        <w:t>r</w:t>
      </w:r>
      <w:r>
        <w:rPr>
          <w:rFonts w:ascii="Times New Roman" w:eastAsia="SimSun" w:hAnsi="Times New Roman" w:cs="Times New Roman"/>
          <w:color w:val="3C4245"/>
          <w:sz w:val="24"/>
        </w:rPr>
        <w:t xml:space="preserve">espiratory diseases and </w:t>
      </w:r>
      <w:r w:rsidR="00E84106">
        <w:rPr>
          <w:rFonts w:ascii="Times New Roman" w:eastAsia="SimSun" w:hAnsi="Times New Roman" w:cs="Times New Roman"/>
          <w:color w:val="3C4245"/>
          <w:sz w:val="24"/>
        </w:rPr>
        <w:t>s</w:t>
      </w:r>
      <w:r>
        <w:rPr>
          <w:rFonts w:ascii="Times New Roman" w:eastAsia="SimSun" w:hAnsi="Times New Roman" w:cs="Times New Roman"/>
          <w:color w:val="3C4245"/>
          <w:sz w:val="24"/>
        </w:rPr>
        <w:t>kin/</w:t>
      </w:r>
      <w:r w:rsidR="00E84106">
        <w:rPr>
          <w:rFonts w:ascii="Times New Roman" w:eastAsia="SimSun" w:hAnsi="Times New Roman" w:cs="Times New Roman"/>
          <w:color w:val="3C4245"/>
          <w:sz w:val="24"/>
        </w:rPr>
        <w:t>e</w:t>
      </w:r>
      <w:r>
        <w:rPr>
          <w:rFonts w:ascii="Times New Roman" w:eastAsia="SimSun" w:hAnsi="Times New Roman" w:cs="Times New Roman"/>
          <w:color w:val="3C4245"/>
          <w:sz w:val="24"/>
        </w:rPr>
        <w:t xml:space="preserve">ye infections; </w:t>
      </w:r>
      <w:r w:rsidR="00E84106">
        <w:rPr>
          <w:rFonts w:ascii="Times New Roman" w:eastAsia="SimSun" w:hAnsi="Times New Roman" w:cs="Times New Roman"/>
          <w:color w:val="3C4245"/>
          <w:sz w:val="24"/>
        </w:rPr>
        <w:t>c</w:t>
      </w:r>
      <w:r>
        <w:rPr>
          <w:rFonts w:ascii="Times New Roman" w:eastAsia="SimSun" w:hAnsi="Times New Roman" w:cs="Times New Roman"/>
          <w:color w:val="3C4245"/>
          <w:sz w:val="24"/>
        </w:rPr>
        <w:t xml:space="preserve">hemical poisoning; </w:t>
      </w:r>
      <w:r w:rsidR="00E84106">
        <w:rPr>
          <w:rFonts w:ascii="Times New Roman" w:eastAsia="SimSun" w:hAnsi="Times New Roman" w:cs="Times New Roman"/>
          <w:color w:val="3C4245"/>
          <w:sz w:val="24"/>
        </w:rPr>
        <w:t>s</w:t>
      </w:r>
      <w:r>
        <w:rPr>
          <w:rFonts w:ascii="Times New Roman" w:eastAsia="SimSun" w:hAnsi="Times New Roman" w:cs="Times New Roman"/>
          <w:color w:val="3C4245"/>
          <w:sz w:val="24"/>
        </w:rPr>
        <w:t xml:space="preserve">tress; and negative health effect linked to overcrowding (WHO Flooding, </w:t>
      </w:r>
      <w:r>
        <w:rPr>
          <w:rFonts w:ascii="Times New Roman" w:eastAsia="SimSun" w:hAnsi="Times New Roman" w:cs="Times New Roman"/>
          <w:color w:val="3C4245"/>
          <w:sz w:val="24"/>
        </w:rPr>
        <w:lastRenderedPageBreak/>
        <w:t xml:space="preserve">2017). </w:t>
      </w:r>
      <w:r w:rsidR="00E37B1C">
        <w:rPr>
          <w:rFonts w:ascii="Times New Roman" w:eastAsia="SimSun" w:hAnsi="Times New Roman" w:cs="Times New Roman"/>
          <w:color w:val="3C4245"/>
          <w:sz w:val="24"/>
        </w:rPr>
        <w:t>T</w:t>
      </w:r>
      <w:r>
        <w:rPr>
          <w:rFonts w:ascii="Times New Roman" w:eastAsia="SimSun" w:hAnsi="Times New Roman" w:cs="Times New Roman"/>
          <w:color w:val="3C4245"/>
          <w:sz w:val="24"/>
        </w:rPr>
        <w:t>he second effect can occur after floods, for example, damage to health care infrastructures, living supplies, water shortage, communication crash, destruction of property and vital community facilities, damage to crops, disruption of food supplies, and disruption of livelihoods and income. A flood warning measures system is, therefore, very necessary for city resilience, s</w:t>
      </w:r>
      <w:r>
        <w:rPr>
          <w:rFonts w:ascii="Times New Roman" w:eastAsia="SimSun" w:hAnsi="Times New Roman" w:cs="Times New Roman"/>
          <w:color w:val="1A1A1A"/>
          <w:sz w:val="24"/>
        </w:rPr>
        <w:t>trengthening the monitoring of flood hazard points, establishing and improving monitoring systems, observing models, forecasting models, and early warning system</w:t>
      </w:r>
      <w:r>
        <w:rPr>
          <w:rFonts w:ascii="Times New Roman" w:eastAsia="SimSun" w:hAnsi="Times New Roman" w:cs="Times New Roman" w:hint="eastAsia"/>
          <w:color w:val="1A1A1A"/>
          <w:sz w:val="24"/>
        </w:rPr>
        <w:t>s</w:t>
      </w:r>
      <w:r>
        <w:rPr>
          <w:rFonts w:ascii="Times New Roman" w:eastAsia="SimSun" w:hAnsi="Times New Roman" w:cs="Times New Roman"/>
          <w:color w:val="1A1A1A"/>
          <w:sz w:val="24"/>
        </w:rPr>
        <w:t>, group measurement and prevention work are now considered as potential solution</w:t>
      </w:r>
      <w:r>
        <w:rPr>
          <w:rFonts w:ascii="Times New Roman" w:eastAsia="SimSun" w:hAnsi="Times New Roman" w:cs="Times New Roman" w:hint="eastAsia"/>
          <w:color w:val="1A1A1A"/>
          <w:sz w:val="24"/>
        </w:rPr>
        <w:t>s</w:t>
      </w:r>
      <w:r>
        <w:rPr>
          <w:rFonts w:ascii="Times New Roman" w:eastAsia="SimSun" w:hAnsi="Times New Roman" w:cs="Times New Roman"/>
          <w:color w:val="1A1A1A"/>
          <w:sz w:val="24"/>
        </w:rPr>
        <w:t>.</w:t>
      </w:r>
    </w:p>
    <w:p w14:paraId="2CC5EE3A" w14:textId="77777777" w:rsidR="00B5059A" w:rsidRDefault="00B5059A">
      <w:pPr>
        <w:spacing w:line="400" w:lineRule="exact"/>
        <w:ind w:firstLine="720"/>
        <w:rPr>
          <w:rFonts w:ascii="Times New Roman" w:hAnsi="Times New Roman" w:cs="Times New Roman"/>
          <w:sz w:val="24"/>
        </w:rPr>
      </w:pPr>
    </w:p>
    <w:p w14:paraId="4050F572" w14:textId="77777777" w:rsidR="00B5059A" w:rsidRDefault="00000000">
      <w:pPr>
        <w:spacing w:line="400" w:lineRule="exact"/>
        <w:rPr>
          <w:rFonts w:ascii="Times New Roman" w:hAnsi="Times New Roman" w:cs="Times New Roman"/>
          <w:b/>
          <w:bCs/>
          <w:sz w:val="24"/>
        </w:rPr>
      </w:pPr>
      <w:r>
        <w:rPr>
          <w:rFonts w:ascii="Times New Roman" w:hAnsi="Times New Roman" w:cs="Times New Roman" w:hint="eastAsia"/>
          <w:b/>
          <w:bCs/>
          <w:sz w:val="24"/>
        </w:rPr>
        <w:t>Acoustic</w:t>
      </w:r>
    </w:p>
    <w:p w14:paraId="7CE4F01A" w14:textId="77777777" w:rsidR="00B5059A" w:rsidRPr="00CE26D4" w:rsidRDefault="00000000">
      <w:pPr>
        <w:spacing w:line="400" w:lineRule="exact"/>
        <w:ind w:firstLine="720"/>
        <w:rPr>
          <w:rFonts w:ascii="Times New Roman" w:hAnsi="Times New Roman" w:cs="Times New Roman"/>
          <w:sz w:val="24"/>
        </w:rPr>
      </w:pPr>
      <w:r w:rsidRPr="00CE26D4">
        <w:rPr>
          <w:rFonts w:ascii="Times New Roman" w:hAnsi="Times New Roman" w:cs="Times New Roman"/>
          <w:sz w:val="24"/>
        </w:rPr>
        <w:t>Noise pollution in urban environments caused by traffic is nowadays recognized as one of the top public health threats across all ages (UNEP, 2022). Prolonged exposure to high levels of noise impairs human health and well-being. Traffic and other urban noises affect not only human well-being but also disturb and endanger the survival of species crucial to the urban environment (Francis and Barber, 2013).</w:t>
      </w:r>
    </w:p>
    <w:p w14:paraId="75DBFF8A" w14:textId="77777777" w:rsidR="00B5059A" w:rsidRPr="00CE26D4" w:rsidRDefault="00000000">
      <w:pPr>
        <w:spacing w:line="400" w:lineRule="exact"/>
        <w:ind w:firstLine="720"/>
        <w:rPr>
          <w:rFonts w:ascii="Times New Roman" w:hAnsi="Times New Roman" w:cs="Times New Roman"/>
          <w:sz w:val="24"/>
        </w:rPr>
      </w:pPr>
      <w:r w:rsidRPr="00CE26D4">
        <w:rPr>
          <w:rFonts w:ascii="Times New Roman" w:hAnsi="Times New Roman" w:cs="Times New Roman"/>
          <w:sz w:val="24"/>
        </w:rPr>
        <w:t>Estimates suggest that in Europe 22 million and 6.5 million people suffer from chronic noise annoyance and sleep disturbance, respectively (EEA, 2020). The elderly, pregnant woman and shift workers are among those at risk of noise-induced sleep disturbance (Halperin, 2014). Noise-induced awakenings can trigger a range of physiological and psychological stress responses because sleep is necessary for hormonal regulation and cardiovascular functioning (</w:t>
      </w:r>
      <w:proofErr w:type="spellStart"/>
      <w:r w:rsidRPr="009669B9">
        <w:rPr>
          <w:rFonts w:ascii="Times New Roman" w:hAnsi="Times New Roman" w:cs="Times New Roman"/>
          <w:sz w:val="24"/>
        </w:rPr>
        <w:t>Münzel</w:t>
      </w:r>
      <w:proofErr w:type="spellEnd"/>
      <w:r w:rsidRPr="009669B9">
        <w:rPr>
          <w:rFonts w:ascii="Times New Roman" w:hAnsi="Times New Roman" w:cs="Times New Roman"/>
          <w:sz w:val="24"/>
        </w:rPr>
        <w:t xml:space="preserve"> et al., 2014</w:t>
      </w:r>
      <w:r w:rsidRPr="00CE26D4">
        <w:rPr>
          <w:rFonts w:ascii="Times New Roman" w:hAnsi="Times New Roman" w:cs="Times New Roman"/>
          <w:sz w:val="24"/>
        </w:rPr>
        <w:t>). There is increasing evidence that traffic noise exposure is a risk factor for the development of cardiovascular and metabolic disorders such as elevated blood pressure, arterial hypertension, coronary heart disease and diabetes (</w:t>
      </w:r>
      <w:proofErr w:type="spellStart"/>
      <w:r w:rsidRPr="009669B9">
        <w:rPr>
          <w:rFonts w:ascii="Times New Roman" w:hAnsi="Times New Roman" w:cs="Times New Roman"/>
          <w:sz w:val="24"/>
        </w:rPr>
        <w:t>Münzel</w:t>
      </w:r>
      <w:proofErr w:type="spellEnd"/>
      <w:r w:rsidRPr="009669B9">
        <w:rPr>
          <w:rFonts w:ascii="Times New Roman" w:hAnsi="Times New Roman" w:cs="Times New Roman"/>
          <w:sz w:val="24"/>
        </w:rPr>
        <w:t xml:space="preserve"> et al., 2018</w:t>
      </w:r>
      <w:r w:rsidRPr="00CE26D4">
        <w:rPr>
          <w:rFonts w:ascii="Times New Roman" w:hAnsi="Times New Roman" w:cs="Times New Roman"/>
          <w:sz w:val="24"/>
        </w:rPr>
        <w:t xml:space="preserve">). </w:t>
      </w:r>
    </w:p>
    <w:p w14:paraId="13E75921" w14:textId="77777777" w:rsidR="00B5059A" w:rsidRDefault="00B5059A">
      <w:pPr>
        <w:spacing w:line="400" w:lineRule="exact"/>
        <w:ind w:firstLineChars="200" w:firstLine="420"/>
        <w:rPr>
          <w:rFonts w:ascii="Times New Roman" w:hAnsi="Times New Roman" w:cs="Times New Roman"/>
        </w:rPr>
      </w:pPr>
    </w:p>
    <w:p w14:paraId="2D53148A" w14:textId="2C45F207" w:rsidR="00B5059A" w:rsidRDefault="00000000">
      <w:pPr>
        <w:pStyle w:val="Caption"/>
        <w:keepNext/>
        <w:rPr>
          <w:rFonts w:ascii="Times New Roman" w:hAnsi="Times New Roman" w:cs="Times New Roman"/>
          <w:bCs/>
          <w:sz w:val="24"/>
          <w:szCs w:val="24"/>
        </w:rPr>
      </w:pPr>
      <w:r w:rsidRPr="009669B9">
        <w:rPr>
          <w:rFonts w:ascii="Times New Roman" w:hAnsi="Times New Roman" w:cs="Times New Roman"/>
          <w:b/>
          <w:sz w:val="24"/>
          <w:szCs w:val="24"/>
        </w:rPr>
        <w:t xml:space="preserve">Table </w:t>
      </w:r>
      <w:r w:rsidR="0014063B">
        <w:rPr>
          <w:rFonts w:ascii="Times New Roman" w:hAnsi="Times New Roman" w:cs="Times New Roman"/>
          <w:b/>
          <w:sz w:val="24"/>
          <w:szCs w:val="24"/>
        </w:rPr>
        <w:t>1.1</w:t>
      </w:r>
      <w:r>
        <w:rPr>
          <w:rFonts w:ascii="Times New Roman" w:hAnsi="Times New Roman" w:cs="Times New Roman"/>
          <w:bCs/>
          <w:sz w:val="24"/>
          <w:szCs w:val="24"/>
        </w:rPr>
        <w:t xml:space="preserve"> Prevalence of hearing loss (of moderate or higher grade) across WHO regions (WHO, 2021)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939"/>
        <w:gridCol w:w="2939"/>
      </w:tblGrid>
      <w:tr w:rsidR="00B5059A" w14:paraId="38DD6F43" w14:textId="77777777">
        <w:tc>
          <w:tcPr>
            <w:tcW w:w="1744" w:type="pct"/>
            <w:tcBorders>
              <w:top w:val="single" w:sz="12" w:space="0" w:color="auto"/>
              <w:bottom w:val="single" w:sz="12" w:space="0" w:color="auto"/>
            </w:tcBorders>
            <w:vAlign w:val="center"/>
          </w:tcPr>
          <w:p w14:paraId="6747CBE5" w14:textId="77777777" w:rsidR="00B5059A" w:rsidRDefault="00000000">
            <w:pPr>
              <w:spacing w:line="400" w:lineRule="exact"/>
              <w:jc w:val="center"/>
              <w:rPr>
                <w:rFonts w:ascii="Times New Roman" w:hAnsi="Times New Roman" w:cs="Times New Roman"/>
              </w:rPr>
            </w:pPr>
            <w:bookmarkStart w:id="1" w:name="_Hlk134173044"/>
            <w:r>
              <w:rPr>
                <w:rFonts w:ascii="Times New Roman" w:hAnsi="Times New Roman" w:cs="Times New Roman"/>
              </w:rPr>
              <w:t>Area</w:t>
            </w:r>
          </w:p>
        </w:tc>
        <w:tc>
          <w:tcPr>
            <w:tcW w:w="1628" w:type="pct"/>
            <w:tcBorders>
              <w:top w:val="single" w:sz="12" w:space="0" w:color="auto"/>
              <w:bottom w:val="single" w:sz="12" w:space="0" w:color="auto"/>
            </w:tcBorders>
            <w:vAlign w:val="center"/>
          </w:tcPr>
          <w:p w14:paraId="48660142"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Quantity / million</w:t>
            </w:r>
          </w:p>
        </w:tc>
        <w:tc>
          <w:tcPr>
            <w:tcW w:w="1628" w:type="pct"/>
            <w:tcBorders>
              <w:top w:val="single" w:sz="12" w:space="0" w:color="auto"/>
              <w:bottom w:val="single" w:sz="12" w:space="0" w:color="auto"/>
            </w:tcBorders>
            <w:vAlign w:val="center"/>
          </w:tcPr>
          <w:p w14:paraId="0C4B1E7E"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Proportion</w:t>
            </w:r>
          </w:p>
        </w:tc>
      </w:tr>
      <w:tr w:rsidR="00B5059A" w14:paraId="0D3612E9" w14:textId="77777777">
        <w:tc>
          <w:tcPr>
            <w:tcW w:w="1744" w:type="pct"/>
            <w:tcBorders>
              <w:top w:val="single" w:sz="12" w:space="0" w:color="auto"/>
            </w:tcBorders>
            <w:vAlign w:val="center"/>
          </w:tcPr>
          <w:p w14:paraId="22022C9E"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Americas</w:t>
            </w:r>
          </w:p>
        </w:tc>
        <w:tc>
          <w:tcPr>
            <w:tcW w:w="1628" w:type="pct"/>
            <w:tcBorders>
              <w:top w:val="single" w:sz="12" w:space="0" w:color="auto"/>
            </w:tcBorders>
            <w:vAlign w:val="center"/>
          </w:tcPr>
          <w:p w14:paraId="4876639E"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62.7</w:t>
            </w:r>
          </w:p>
        </w:tc>
        <w:tc>
          <w:tcPr>
            <w:tcW w:w="1628" w:type="pct"/>
            <w:tcBorders>
              <w:top w:val="single" w:sz="12" w:space="0" w:color="auto"/>
            </w:tcBorders>
            <w:vAlign w:val="center"/>
          </w:tcPr>
          <w:p w14:paraId="00D88369"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6.2%</w:t>
            </w:r>
          </w:p>
        </w:tc>
      </w:tr>
      <w:tr w:rsidR="00B5059A" w14:paraId="0FC0760C" w14:textId="77777777">
        <w:tc>
          <w:tcPr>
            <w:tcW w:w="1744" w:type="pct"/>
            <w:vAlign w:val="center"/>
          </w:tcPr>
          <w:p w14:paraId="6E803E39"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African</w:t>
            </w:r>
          </w:p>
        </w:tc>
        <w:tc>
          <w:tcPr>
            <w:tcW w:w="1628" w:type="pct"/>
            <w:vAlign w:val="center"/>
          </w:tcPr>
          <w:p w14:paraId="48E00449"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39.9</w:t>
            </w:r>
          </w:p>
        </w:tc>
        <w:tc>
          <w:tcPr>
            <w:tcW w:w="1628" w:type="pct"/>
            <w:vAlign w:val="center"/>
          </w:tcPr>
          <w:p w14:paraId="55113238"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3.6%</w:t>
            </w:r>
          </w:p>
        </w:tc>
      </w:tr>
      <w:tr w:rsidR="00B5059A" w14:paraId="35EFE956" w14:textId="77777777">
        <w:tc>
          <w:tcPr>
            <w:tcW w:w="1744" w:type="pct"/>
            <w:vAlign w:val="center"/>
          </w:tcPr>
          <w:p w14:paraId="657D6CD2"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European</w:t>
            </w:r>
          </w:p>
        </w:tc>
        <w:tc>
          <w:tcPr>
            <w:tcW w:w="1628" w:type="pct"/>
            <w:vAlign w:val="center"/>
          </w:tcPr>
          <w:p w14:paraId="17C4928D"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57.3</w:t>
            </w:r>
          </w:p>
        </w:tc>
        <w:tc>
          <w:tcPr>
            <w:tcW w:w="1628" w:type="pct"/>
            <w:vAlign w:val="center"/>
          </w:tcPr>
          <w:p w14:paraId="6B36F207"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6.2%</w:t>
            </w:r>
          </w:p>
        </w:tc>
      </w:tr>
      <w:tr w:rsidR="00B5059A" w14:paraId="326D0295" w14:textId="77777777">
        <w:tc>
          <w:tcPr>
            <w:tcW w:w="1744" w:type="pct"/>
            <w:vAlign w:val="center"/>
          </w:tcPr>
          <w:p w14:paraId="4FD74635"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Eastern Mediterranean</w:t>
            </w:r>
          </w:p>
        </w:tc>
        <w:tc>
          <w:tcPr>
            <w:tcW w:w="1628" w:type="pct"/>
            <w:vAlign w:val="center"/>
          </w:tcPr>
          <w:p w14:paraId="10AD416A"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22.1</w:t>
            </w:r>
          </w:p>
        </w:tc>
        <w:tc>
          <w:tcPr>
            <w:tcW w:w="1628" w:type="pct"/>
            <w:vAlign w:val="center"/>
          </w:tcPr>
          <w:p w14:paraId="61B33109"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3.1%</w:t>
            </w:r>
          </w:p>
        </w:tc>
      </w:tr>
      <w:tr w:rsidR="00B5059A" w14:paraId="32986CBC" w14:textId="77777777">
        <w:tc>
          <w:tcPr>
            <w:tcW w:w="1744" w:type="pct"/>
            <w:vAlign w:val="center"/>
          </w:tcPr>
          <w:p w14:paraId="1B08DF94"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South-East Asia</w:t>
            </w:r>
          </w:p>
        </w:tc>
        <w:tc>
          <w:tcPr>
            <w:tcW w:w="1628" w:type="pct"/>
            <w:vAlign w:val="center"/>
          </w:tcPr>
          <w:p w14:paraId="3E75F540"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109.4</w:t>
            </w:r>
          </w:p>
        </w:tc>
        <w:tc>
          <w:tcPr>
            <w:tcW w:w="1628" w:type="pct"/>
            <w:vAlign w:val="center"/>
          </w:tcPr>
          <w:p w14:paraId="4E4E72D6"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5.5%</w:t>
            </w:r>
          </w:p>
        </w:tc>
      </w:tr>
      <w:tr w:rsidR="00B5059A" w14:paraId="2E65155D" w14:textId="77777777">
        <w:tc>
          <w:tcPr>
            <w:tcW w:w="1744" w:type="pct"/>
            <w:tcBorders>
              <w:bottom w:val="single" w:sz="12" w:space="0" w:color="auto"/>
            </w:tcBorders>
            <w:vAlign w:val="center"/>
          </w:tcPr>
          <w:p w14:paraId="1C903ED7"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Western Pacific</w:t>
            </w:r>
          </w:p>
        </w:tc>
        <w:tc>
          <w:tcPr>
            <w:tcW w:w="1628" w:type="pct"/>
            <w:tcBorders>
              <w:bottom w:val="single" w:sz="12" w:space="0" w:color="auto"/>
            </w:tcBorders>
            <w:vAlign w:val="center"/>
          </w:tcPr>
          <w:p w14:paraId="64C79013"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136.5</w:t>
            </w:r>
          </w:p>
        </w:tc>
        <w:tc>
          <w:tcPr>
            <w:tcW w:w="1628" w:type="pct"/>
            <w:tcBorders>
              <w:bottom w:val="single" w:sz="12" w:space="0" w:color="auto"/>
            </w:tcBorders>
            <w:vAlign w:val="center"/>
          </w:tcPr>
          <w:p w14:paraId="56EF1E2A"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7.1%</w:t>
            </w:r>
          </w:p>
        </w:tc>
      </w:tr>
    </w:tbl>
    <w:bookmarkEnd w:id="1"/>
    <w:p w14:paraId="76F15E08" w14:textId="6AE38AF4" w:rsidR="00B5059A" w:rsidRDefault="00000000">
      <w:pPr>
        <w:spacing w:line="400" w:lineRule="exact"/>
        <w:ind w:firstLine="720"/>
        <w:rPr>
          <w:rFonts w:ascii="Times New Roman" w:hAnsi="Times New Roman" w:cs="Times New Roman"/>
          <w:sz w:val="24"/>
          <w:szCs w:val="32"/>
        </w:rPr>
      </w:pPr>
      <w:r>
        <w:rPr>
          <w:rFonts w:ascii="Times New Roman" w:hAnsi="Times New Roman" w:cs="Times New Roman"/>
          <w:sz w:val="24"/>
          <w:szCs w:val="32"/>
        </w:rPr>
        <w:t>Table 1</w:t>
      </w:r>
      <w:r w:rsidR="0014063B">
        <w:rPr>
          <w:rFonts w:ascii="Times New Roman" w:hAnsi="Times New Roman" w:cs="Times New Roman"/>
          <w:sz w:val="24"/>
          <w:szCs w:val="32"/>
        </w:rPr>
        <w:t>.1</w:t>
      </w:r>
      <w:r>
        <w:rPr>
          <w:rFonts w:ascii="Times New Roman" w:hAnsi="Times New Roman" w:cs="Times New Roman"/>
          <w:sz w:val="24"/>
          <w:szCs w:val="32"/>
        </w:rPr>
        <w:t xml:space="preserve"> shows the prevalence of hearing loss across WHO regions, the highest proportion is Western Pacific (accounting for 7.1%, 136.5 million), and the lowest is in Southeast Asia (3.1%). Also, European and the Americas should concern due to the relatively </w:t>
      </w:r>
      <w:r>
        <w:rPr>
          <w:rFonts w:ascii="Times New Roman" w:hAnsi="Times New Roman" w:cs="Times New Roman"/>
          <w:sz w:val="24"/>
          <w:szCs w:val="32"/>
        </w:rPr>
        <w:lastRenderedPageBreak/>
        <w:t xml:space="preserve">high index. </w:t>
      </w:r>
    </w:p>
    <w:p w14:paraId="24B16387" w14:textId="77777777" w:rsidR="00B5059A" w:rsidRDefault="00B5059A">
      <w:pPr>
        <w:spacing w:line="400" w:lineRule="exact"/>
        <w:ind w:firstLineChars="200" w:firstLine="480"/>
        <w:rPr>
          <w:rFonts w:ascii="Times New Roman" w:hAnsi="Times New Roman" w:cs="Times New Roman"/>
          <w:sz w:val="24"/>
          <w:szCs w:val="32"/>
        </w:rPr>
      </w:pPr>
    </w:p>
    <w:p w14:paraId="4443E704" w14:textId="72C75DF2" w:rsidR="00B5059A" w:rsidRDefault="00000000">
      <w:pPr>
        <w:pStyle w:val="Caption"/>
        <w:keepNext/>
        <w:rPr>
          <w:rFonts w:ascii="Times New Roman" w:hAnsi="Times New Roman" w:cs="Times New Roman"/>
          <w:bCs/>
          <w:sz w:val="24"/>
          <w:szCs w:val="24"/>
        </w:rPr>
      </w:pPr>
      <w:r w:rsidRPr="009669B9">
        <w:rPr>
          <w:rFonts w:ascii="Times New Roman" w:hAnsi="Times New Roman" w:cs="Times New Roman"/>
          <w:b/>
          <w:sz w:val="24"/>
          <w:szCs w:val="24"/>
        </w:rPr>
        <w:t xml:space="preserve">Table </w:t>
      </w:r>
      <w:r w:rsidR="0014063B">
        <w:rPr>
          <w:rFonts w:ascii="Times New Roman" w:hAnsi="Times New Roman" w:cs="Times New Roman"/>
          <w:b/>
          <w:sz w:val="24"/>
          <w:szCs w:val="24"/>
        </w:rPr>
        <w:t>1.2</w:t>
      </w:r>
      <w:r>
        <w:rPr>
          <w:rFonts w:ascii="Times New Roman" w:hAnsi="Times New Roman" w:cs="Times New Roman"/>
          <w:bCs/>
          <w:sz w:val="24"/>
          <w:szCs w:val="24"/>
        </w:rPr>
        <w:t xml:space="preserve"> Illustrative combined direct, indirect and intangible costs of hearing loss (in billion dollars) (David et al., 2021)</w:t>
      </w:r>
    </w:p>
    <w:tbl>
      <w:tblPr>
        <w:tblStyle w:val="TableGrid"/>
        <w:tblW w:w="523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1426"/>
        <w:gridCol w:w="1425"/>
        <w:gridCol w:w="1423"/>
        <w:gridCol w:w="1423"/>
        <w:gridCol w:w="1408"/>
      </w:tblGrid>
      <w:tr w:rsidR="00B5059A" w14:paraId="5AB06625" w14:textId="77777777">
        <w:trPr>
          <w:jc w:val="center"/>
        </w:trPr>
        <w:tc>
          <w:tcPr>
            <w:tcW w:w="1241" w:type="pct"/>
            <w:tcBorders>
              <w:top w:val="single" w:sz="12" w:space="0" w:color="auto"/>
              <w:bottom w:val="single" w:sz="12" w:space="0" w:color="auto"/>
            </w:tcBorders>
            <w:vAlign w:val="center"/>
          </w:tcPr>
          <w:p w14:paraId="7C026E66"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Area</w:t>
            </w:r>
          </w:p>
        </w:tc>
        <w:tc>
          <w:tcPr>
            <w:tcW w:w="754" w:type="pct"/>
            <w:tcBorders>
              <w:top w:val="single" w:sz="12" w:space="0" w:color="auto"/>
              <w:bottom w:val="single" w:sz="12" w:space="0" w:color="auto"/>
            </w:tcBorders>
            <w:vAlign w:val="center"/>
          </w:tcPr>
          <w:p w14:paraId="0452391E"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Health</w:t>
            </w:r>
          </w:p>
        </w:tc>
        <w:tc>
          <w:tcPr>
            <w:tcW w:w="754" w:type="pct"/>
            <w:tcBorders>
              <w:top w:val="single" w:sz="12" w:space="0" w:color="auto"/>
              <w:bottom w:val="single" w:sz="12" w:space="0" w:color="auto"/>
            </w:tcBorders>
            <w:vAlign w:val="center"/>
          </w:tcPr>
          <w:p w14:paraId="6165E354"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Education</w:t>
            </w:r>
          </w:p>
        </w:tc>
        <w:tc>
          <w:tcPr>
            <w:tcW w:w="753" w:type="pct"/>
            <w:tcBorders>
              <w:top w:val="single" w:sz="12" w:space="0" w:color="auto"/>
              <w:bottom w:val="single" w:sz="12" w:space="0" w:color="auto"/>
            </w:tcBorders>
            <w:vAlign w:val="center"/>
          </w:tcPr>
          <w:p w14:paraId="1CCEE688"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Productivity</w:t>
            </w:r>
          </w:p>
        </w:tc>
        <w:tc>
          <w:tcPr>
            <w:tcW w:w="753" w:type="pct"/>
            <w:tcBorders>
              <w:top w:val="single" w:sz="12" w:space="0" w:color="auto"/>
              <w:bottom w:val="single" w:sz="12" w:space="0" w:color="auto"/>
            </w:tcBorders>
            <w:vAlign w:val="center"/>
          </w:tcPr>
          <w:p w14:paraId="486EC127"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Intangible</w:t>
            </w:r>
          </w:p>
        </w:tc>
        <w:tc>
          <w:tcPr>
            <w:tcW w:w="746" w:type="pct"/>
            <w:tcBorders>
              <w:top w:val="single" w:sz="12" w:space="0" w:color="auto"/>
              <w:bottom w:val="single" w:sz="12" w:space="0" w:color="auto"/>
            </w:tcBorders>
            <w:vAlign w:val="center"/>
          </w:tcPr>
          <w:p w14:paraId="5BF4D586"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All costs</w:t>
            </w:r>
          </w:p>
        </w:tc>
      </w:tr>
      <w:tr w:rsidR="00B5059A" w14:paraId="4EEEBD18" w14:textId="77777777">
        <w:trPr>
          <w:jc w:val="center"/>
        </w:trPr>
        <w:tc>
          <w:tcPr>
            <w:tcW w:w="1241" w:type="pct"/>
            <w:tcBorders>
              <w:top w:val="single" w:sz="12" w:space="0" w:color="auto"/>
            </w:tcBorders>
            <w:vAlign w:val="center"/>
          </w:tcPr>
          <w:p w14:paraId="3C4B8BEF"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Americas</w:t>
            </w:r>
          </w:p>
        </w:tc>
        <w:tc>
          <w:tcPr>
            <w:tcW w:w="754" w:type="pct"/>
            <w:tcBorders>
              <w:top w:val="single" w:sz="12" w:space="0" w:color="auto"/>
            </w:tcBorders>
            <w:vAlign w:val="center"/>
          </w:tcPr>
          <w:p w14:paraId="39441848"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88.6</w:t>
            </w:r>
          </w:p>
        </w:tc>
        <w:tc>
          <w:tcPr>
            <w:tcW w:w="754" w:type="pct"/>
            <w:tcBorders>
              <w:top w:val="single" w:sz="12" w:space="0" w:color="auto"/>
            </w:tcBorders>
            <w:vAlign w:val="center"/>
          </w:tcPr>
          <w:p w14:paraId="04644E70"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3.8</w:t>
            </w:r>
          </w:p>
        </w:tc>
        <w:tc>
          <w:tcPr>
            <w:tcW w:w="753" w:type="pct"/>
            <w:tcBorders>
              <w:top w:val="single" w:sz="12" w:space="0" w:color="auto"/>
            </w:tcBorders>
            <w:vAlign w:val="center"/>
          </w:tcPr>
          <w:p w14:paraId="1721CEB8"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44.1</w:t>
            </w:r>
          </w:p>
        </w:tc>
        <w:tc>
          <w:tcPr>
            <w:tcW w:w="753" w:type="pct"/>
            <w:tcBorders>
              <w:top w:val="single" w:sz="12" w:space="0" w:color="auto"/>
            </w:tcBorders>
            <w:vAlign w:val="center"/>
          </w:tcPr>
          <w:p w14:paraId="07042CE2"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125.3</w:t>
            </w:r>
          </w:p>
        </w:tc>
        <w:tc>
          <w:tcPr>
            <w:tcW w:w="746" w:type="pct"/>
            <w:tcBorders>
              <w:top w:val="single" w:sz="12" w:space="0" w:color="auto"/>
            </w:tcBorders>
            <w:vAlign w:val="center"/>
          </w:tcPr>
          <w:p w14:paraId="463A8AE1"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262</w:t>
            </w:r>
          </w:p>
        </w:tc>
      </w:tr>
      <w:tr w:rsidR="00B5059A" w14:paraId="14434891" w14:textId="77777777">
        <w:trPr>
          <w:jc w:val="center"/>
        </w:trPr>
        <w:tc>
          <w:tcPr>
            <w:tcW w:w="1241" w:type="pct"/>
            <w:vAlign w:val="center"/>
          </w:tcPr>
          <w:p w14:paraId="37D91604"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African</w:t>
            </w:r>
          </w:p>
        </w:tc>
        <w:tc>
          <w:tcPr>
            <w:tcW w:w="754" w:type="pct"/>
            <w:vAlign w:val="center"/>
          </w:tcPr>
          <w:p w14:paraId="1E2E5832"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7.3</w:t>
            </w:r>
          </w:p>
        </w:tc>
        <w:tc>
          <w:tcPr>
            <w:tcW w:w="754" w:type="pct"/>
            <w:vAlign w:val="center"/>
          </w:tcPr>
          <w:p w14:paraId="72FA273D"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3.6</w:t>
            </w:r>
          </w:p>
        </w:tc>
        <w:tc>
          <w:tcPr>
            <w:tcW w:w="753" w:type="pct"/>
            <w:vAlign w:val="center"/>
          </w:tcPr>
          <w:p w14:paraId="01C04E64"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3.5</w:t>
            </w:r>
          </w:p>
        </w:tc>
        <w:tc>
          <w:tcPr>
            <w:tcW w:w="753" w:type="pct"/>
            <w:vAlign w:val="center"/>
          </w:tcPr>
          <w:p w14:paraId="498C164A"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12.4</w:t>
            </w:r>
          </w:p>
        </w:tc>
        <w:tc>
          <w:tcPr>
            <w:tcW w:w="746" w:type="pct"/>
            <w:vAlign w:val="center"/>
          </w:tcPr>
          <w:p w14:paraId="1E3FE510"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27.1</w:t>
            </w:r>
          </w:p>
        </w:tc>
      </w:tr>
      <w:tr w:rsidR="00B5059A" w14:paraId="153B40FC" w14:textId="77777777">
        <w:trPr>
          <w:jc w:val="center"/>
        </w:trPr>
        <w:tc>
          <w:tcPr>
            <w:tcW w:w="1241" w:type="pct"/>
            <w:vAlign w:val="center"/>
          </w:tcPr>
          <w:p w14:paraId="7443AD87"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European</w:t>
            </w:r>
          </w:p>
        </w:tc>
        <w:tc>
          <w:tcPr>
            <w:tcW w:w="754" w:type="pct"/>
            <w:vAlign w:val="center"/>
          </w:tcPr>
          <w:p w14:paraId="6364FF7D"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74.5</w:t>
            </w:r>
          </w:p>
        </w:tc>
        <w:tc>
          <w:tcPr>
            <w:tcW w:w="754" w:type="pct"/>
            <w:vAlign w:val="center"/>
          </w:tcPr>
          <w:p w14:paraId="34AA4A88"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3.2</w:t>
            </w:r>
          </w:p>
        </w:tc>
        <w:tc>
          <w:tcPr>
            <w:tcW w:w="753" w:type="pct"/>
            <w:vAlign w:val="center"/>
          </w:tcPr>
          <w:p w14:paraId="03FA215F"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21.1</w:t>
            </w:r>
          </w:p>
        </w:tc>
        <w:tc>
          <w:tcPr>
            <w:tcW w:w="753" w:type="pct"/>
            <w:vAlign w:val="center"/>
          </w:tcPr>
          <w:p w14:paraId="2DDEE472"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125.6</w:t>
            </w:r>
          </w:p>
        </w:tc>
        <w:tc>
          <w:tcPr>
            <w:tcW w:w="746" w:type="pct"/>
            <w:vAlign w:val="center"/>
          </w:tcPr>
          <w:p w14:paraId="5AEEC653"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224.5</w:t>
            </w:r>
          </w:p>
        </w:tc>
      </w:tr>
      <w:tr w:rsidR="00B5059A" w14:paraId="3A6C3617" w14:textId="77777777">
        <w:trPr>
          <w:jc w:val="center"/>
        </w:trPr>
        <w:tc>
          <w:tcPr>
            <w:tcW w:w="1241" w:type="pct"/>
            <w:vAlign w:val="center"/>
          </w:tcPr>
          <w:p w14:paraId="1D38CD6E"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Eastern Mediterranean</w:t>
            </w:r>
          </w:p>
        </w:tc>
        <w:tc>
          <w:tcPr>
            <w:tcW w:w="754" w:type="pct"/>
            <w:vAlign w:val="center"/>
          </w:tcPr>
          <w:p w14:paraId="272DAC2F"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9.0</w:t>
            </w:r>
          </w:p>
        </w:tc>
        <w:tc>
          <w:tcPr>
            <w:tcW w:w="754" w:type="pct"/>
            <w:vAlign w:val="center"/>
          </w:tcPr>
          <w:p w14:paraId="1E335BE5"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1.6</w:t>
            </w:r>
          </w:p>
        </w:tc>
        <w:tc>
          <w:tcPr>
            <w:tcW w:w="753" w:type="pct"/>
            <w:vAlign w:val="center"/>
          </w:tcPr>
          <w:p w14:paraId="33592B58"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5.2</w:t>
            </w:r>
          </w:p>
        </w:tc>
        <w:tc>
          <w:tcPr>
            <w:tcW w:w="753" w:type="pct"/>
            <w:vAlign w:val="center"/>
          </w:tcPr>
          <w:p w14:paraId="7EE0AFEC"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13.9</w:t>
            </w:r>
          </w:p>
        </w:tc>
        <w:tc>
          <w:tcPr>
            <w:tcW w:w="746" w:type="pct"/>
            <w:vAlign w:val="center"/>
          </w:tcPr>
          <w:p w14:paraId="0CC9F297"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29.8</w:t>
            </w:r>
          </w:p>
        </w:tc>
      </w:tr>
      <w:tr w:rsidR="00B5059A" w14:paraId="011A819A" w14:textId="77777777">
        <w:trPr>
          <w:jc w:val="center"/>
        </w:trPr>
        <w:tc>
          <w:tcPr>
            <w:tcW w:w="1241" w:type="pct"/>
            <w:vAlign w:val="center"/>
          </w:tcPr>
          <w:p w14:paraId="6463E2C6"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South-East Asia</w:t>
            </w:r>
          </w:p>
        </w:tc>
        <w:tc>
          <w:tcPr>
            <w:tcW w:w="754" w:type="pct"/>
            <w:vAlign w:val="center"/>
          </w:tcPr>
          <w:p w14:paraId="66FFBEA3"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32.2</w:t>
            </w:r>
          </w:p>
        </w:tc>
        <w:tc>
          <w:tcPr>
            <w:tcW w:w="754" w:type="pct"/>
            <w:vAlign w:val="center"/>
          </w:tcPr>
          <w:p w14:paraId="7C4164F4"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7.0</w:t>
            </w:r>
          </w:p>
        </w:tc>
        <w:tc>
          <w:tcPr>
            <w:tcW w:w="753" w:type="pct"/>
            <w:vAlign w:val="center"/>
          </w:tcPr>
          <w:p w14:paraId="73CADA80"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29.7</w:t>
            </w:r>
          </w:p>
        </w:tc>
        <w:tc>
          <w:tcPr>
            <w:tcW w:w="753" w:type="pct"/>
            <w:vAlign w:val="center"/>
          </w:tcPr>
          <w:p w14:paraId="482D5610"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38.7</w:t>
            </w:r>
          </w:p>
        </w:tc>
        <w:tc>
          <w:tcPr>
            <w:tcW w:w="746" w:type="pct"/>
            <w:vAlign w:val="center"/>
          </w:tcPr>
          <w:p w14:paraId="0E4B7D81"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107.7</w:t>
            </w:r>
          </w:p>
        </w:tc>
      </w:tr>
      <w:tr w:rsidR="00B5059A" w14:paraId="54ECC5E2" w14:textId="77777777">
        <w:trPr>
          <w:jc w:val="center"/>
        </w:trPr>
        <w:tc>
          <w:tcPr>
            <w:tcW w:w="1241" w:type="pct"/>
            <w:vAlign w:val="center"/>
          </w:tcPr>
          <w:p w14:paraId="70EAAC36"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Western Pacific</w:t>
            </w:r>
          </w:p>
        </w:tc>
        <w:tc>
          <w:tcPr>
            <w:tcW w:w="754" w:type="pct"/>
            <w:vAlign w:val="center"/>
          </w:tcPr>
          <w:p w14:paraId="75DD8774"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101.8</w:t>
            </w:r>
          </w:p>
        </w:tc>
        <w:tc>
          <w:tcPr>
            <w:tcW w:w="754" w:type="pct"/>
            <w:vAlign w:val="center"/>
          </w:tcPr>
          <w:p w14:paraId="4EA271D7"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7.4</w:t>
            </w:r>
          </w:p>
        </w:tc>
        <w:tc>
          <w:tcPr>
            <w:tcW w:w="753" w:type="pct"/>
            <w:vAlign w:val="center"/>
          </w:tcPr>
          <w:p w14:paraId="48F612F5"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78.5</w:t>
            </w:r>
          </w:p>
        </w:tc>
        <w:tc>
          <w:tcPr>
            <w:tcW w:w="753" w:type="pct"/>
            <w:vAlign w:val="center"/>
          </w:tcPr>
          <w:p w14:paraId="23421048"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140.5</w:t>
            </w:r>
          </w:p>
        </w:tc>
        <w:tc>
          <w:tcPr>
            <w:tcW w:w="746" w:type="pct"/>
            <w:vAlign w:val="center"/>
          </w:tcPr>
          <w:p w14:paraId="38775460"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328.3</w:t>
            </w:r>
          </w:p>
        </w:tc>
      </w:tr>
      <w:tr w:rsidR="00B5059A" w14:paraId="468E111D" w14:textId="77777777">
        <w:trPr>
          <w:jc w:val="center"/>
        </w:trPr>
        <w:tc>
          <w:tcPr>
            <w:tcW w:w="1241" w:type="pct"/>
            <w:tcBorders>
              <w:bottom w:val="single" w:sz="12" w:space="0" w:color="auto"/>
            </w:tcBorders>
            <w:vAlign w:val="center"/>
          </w:tcPr>
          <w:p w14:paraId="1A70553B"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World</w:t>
            </w:r>
          </w:p>
        </w:tc>
        <w:tc>
          <w:tcPr>
            <w:tcW w:w="754" w:type="pct"/>
            <w:tcBorders>
              <w:bottom w:val="single" w:sz="12" w:space="0" w:color="auto"/>
            </w:tcBorders>
            <w:vAlign w:val="center"/>
          </w:tcPr>
          <w:p w14:paraId="62828203"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313.6</w:t>
            </w:r>
          </w:p>
        </w:tc>
        <w:tc>
          <w:tcPr>
            <w:tcW w:w="754" w:type="pct"/>
            <w:tcBorders>
              <w:bottom w:val="single" w:sz="12" w:space="0" w:color="auto"/>
            </w:tcBorders>
            <w:vAlign w:val="center"/>
          </w:tcPr>
          <w:p w14:paraId="43C2952A"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26.8</w:t>
            </w:r>
          </w:p>
        </w:tc>
        <w:tc>
          <w:tcPr>
            <w:tcW w:w="753" w:type="pct"/>
            <w:tcBorders>
              <w:bottom w:val="single" w:sz="12" w:space="0" w:color="auto"/>
            </w:tcBorders>
            <w:vAlign w:val="center"/>
          </w:tcPr>
          <w:p w14:paraId="1AE15190"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182.4</w:t>
            </w:r>
          </w:p>
        </w:tc>
        <w:tc>
          <w:tcPr>
            <w:tcW w:w="753" w:type="pct"/>
            <w:tcBorders>
              <w:bottom w:val="single" w:sz="12" w:space="0" w:color="auto"/>
            </w:tcBorders>
            <w:vAlign w:val="center"/>
          </w:tcPr>
          <w:p w14:paraId="5102CAF7"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456.5</w:t>
            </w:r>
          </w:p>
        </w:tc>
        <w:tc>
          <w:tcPr>
            <w:tcW w:w="746" w:type="pct"/>
            <w:tcBorders>
              <w:bottom w:val="single" w:sz="12" w:space="0" w:color="auto"/>
            </w:tcBorders>
            <w:vAlign w:val="center"/>
          </w:tcPr>
          <w:p w14:paraId="733154C5" w14:textId="77777777" w:rsidR="00B5059A" w:rsidRDefault="00000000">
            <w:pPr>
              <w:spacing w:line="400" w:lineRule="exact"/>
              <w:jc w:val="center"/>
              <w:rPr>
                <w:rFonts w:ascii="Times New Roman" w:hAnsi="Times New Roman" w:cs="Times New Roman"/>
              </w:rPr>
            </w:pPr>
            <w:r>
              <w:rPr>
                <w:rFonts w:ascii="Times New Roman" w:hAnsi="Times New Roman" w:cs="Times New Roman"/>
              </w:rPr>
              <w:t>979.6</w:t>
            </w:r>
          </w:p>
        </w:tc>
      </w:tr>
    </w:tbl>
    <w:p w14:paraId="728312B4" w14:textId="74AF2295" w:rsidR="00B5059A" w:rsidRDefault="00000000">
      <w:pPr>
        <w:spacing w:line="400" w:lineRule="exact"/>
        <w:ind w:firstLine="720"/>
        <w:rPr>
          <w:rFonts w:ascii="Times New Roman" w:hAnsi="Times New Roman" w:cs="Times New Roman"/>
          <w:sz w:val="24"/>
          <w:szCs w:val="32"/>
        </w:rPr>
      </w:pPr>
      <w:r>
        <w:rPr>
          <w:rFonts w:ascii="Times New Roman" w:hAnsi="Times New Roman" w:cs="Times New Roman"/>
          <w:sz w:val="24"/>
          <w:szCs w:val="32"/>
        </w:rPr>
        <w:t xml:space="preserve">Table </w:t>
      </w:r>
      <w:r w:rsidR="0014063B">
        <w:rPr>
          <w:rFonts w:ascii="Times New Roman" w:hAnsi="Times New Roman" w:cs="Times New Roman"/>
          <w:sz w:val="24"/>
          <w:szCs w:val="32"/>
        </w:rPr>
        <w:t>1.</w:t>
      </w:r>
      <w:r>
        <w:rPr>
          <w:rFonts w:ascii="Times New Roman" w:hAnsi="Times New Roman" w:cs="Times New Roman"/>
          <w:sz w:val="24"/>
          <w:szCs w:val="32"/>
        </w:rPr>
        <w:t xml:space="preserve">2 above indicated hearing loss has a considerable economic impact on society as a whole. WHO data reveal that the overall global cost of unaddressed hearing loss is greater than $ 980 billion annually. </w:t>
      </w:r>
    </w:p>
    <w:p w14:paraId="29717236" w14:textId="77777777" w:rsidR="00B5059A" w:rsidRDefault="00B5059A">
      <w:pPr>
        <w:spacing w:line="360" w:lineRule="auto"/>
        <w:ind w:firstLine="720"/>
        <w:rPr>
          <w:rFonts w:ascii="Times New Roman" w:hAnsi="Times New Roman" w:cs="Times New Roman"/>
          <w:sz w:val="24"/>
          <w:szCs w:val="32"/>
        </w:rPr>
      </w:pPr>
    </w:p>
    <w:p w14:paraId="00374DF9" w14:textId="356D0C1F" w:rsidR="00B5059A" w:rsidRPr="00E37B1C" w:rsidRDefault="00000000" w:rsidP="00E37B1C">
      <w:pPr>
        <w:pStyle w:val="ListParagraph"/>
        <w:numPr>
          <w:ilvl w:val="1"/>
          <w:numId w:val="2"/>
        </w:numPr>
        <w:spacing w:line="360" w:lineRule="auto"/>
        <w:rPr>
          <w:rFonts w:ascii="Times New Roman" w:hAnsi="Times New Roman" w:cs="Times New Roman"/>
          <w:b/>
          <w:bCs/>
          <w:sz w:val="24"/>
          <w:szCs w:val="32"/>
        </w:rPr>
      </w:pPr>
      <w:r w:rsidRPr="00E37B1C">
        <w:rPr>
          <w:rFonts w:ascii="Times New Roman" w:hAnsi="Times New Roman" w:cs="Times New Roman" w:hint="eastAsia"/>
          <w:b/>
          <w:bCs/>
          <w:sz w:val="24"/>
          <w:szCs w:val="32"/>
        </w:rPr>
        <w:t>Energy and Environment</w:t>
      </w:r>
    </w:p>
    <w:p w14:paraId="64FEF5CB" w14:textId="6340FA5A" w:rsidR="00AE0290" w:rsidRDefault="00AE0290">
      <w:pPr>
        <w:spacing w:line="360" w:lineRule="auto"/>
        <w:ind w:firstLine="720"/>
        <w:rPr>
          <w:rFonts w:ascii="Times New Roman" w:eastAsia="SimSun" w:hAnsi="Times New Roman" w:cs="Times New Roman"/>
          <w:sz w:val="24"/>
          <w:highlight w:val="yellow"/>
        </w:rPr>
      </w:pPr>
      <w:r w:rsidRPr="00AE0290">
        <w:rPr>
          <w:rFonts w:ascii="Times New Roman" w:eastAsia="SimSun" w:hAnsi="Times New Roman" w:cs="Times New Roman" w:hint="eastAsia"/>
          <w:sz w:val="24"/>
        </w:rPr>
        <w:t xml:space="preserve">With the </w:t>
      </w:r>
      <w:r>
        <w:rPr>
          <w:rFonts w:ascii="Times New Roman" w:eastAsia="SimSun" w:hAnsi="Times New Roman" w:cs="Times New Roman"/>
          <w:sz w:val="24"/>
        </w:rPr>
        <w:t xml:space="preserve">rapid </w:t>
      </w:r>
      <w:proofErr w:type="spellStart"/>
      <w:r>
        <w:rPr>
          <w:rFonts w:ascii="Times New Roman" w:eastAsia="SimSun" w:hAnsi="Times New Roman" w:cs="Times New Roman"/>
          <w:sz w:val="24"/>
        </w:rPr>
        <w:t>urbanisation</w:t>
      </w:r>
      <w:proofErr w:type="spellEnd"/>
      <w:r>
        <w:rPr>
          <w:rFonts w:ascii="Times New Roman" w:eastAsia="SimSun" w:hAnsi="Times New Roman" w:cs="Times New Roman"/>
          <w:sz w:val="24"/>
        </w:rPr>
        <w:t xml:space="preserve"> and urban sprawl</w:t>
      </w:r>
      <w:r w:rsidRPr="00AE0290">
        <w:rPr>
          <w:rFonts w:ascii="Times New Roman" w:eastAsia="SimSun" w:hAnsi="Times New Roman" w:cs="Times New Roman" w:hint="eastAsia"/>
          <w:sz w:val="24"/>
        </w:rPr>
        <w:t xml:space="preserve">, global demand and consumption of energy by </w:t>
      </w:r>
      <w:r>
        <w:rPr>
          <w:rFonts w:ascii="Times New Roman" w:eastAsia="SimSun" w:hAnsi="Times New Roman" w:cs="Times New Roman"/>
          <w:sz w:val="24"/>
        </w:rPr>
        <w:t>cities</w:t>
      </w:r>
      <w:r w:rsidRPr="00AE0290">
        <w:rPr>
          <w:rFonts w:ascii="Times New Roman" w:eastAsia="SimSun" w:hAnsi="Times New Roman" w:cs="Times New Roman" w:hint="eastAsia"/>
          <w:sz w:val="24"/>
        </w:rPr>
        <w:t xml:space="preserve"> are constantly increasing. Cities consume approximately 67% of the world</w:t>
      </w:r>
      <w:r>
        <w:rPr>
          <w:rFonts w:ascii="Times New Roman" w:eastAsia="SimSun" w:hAnsi="Times New Roman" w:cs="Times New Roman"/>
          <w:sz w:val="24"/>
        </w:rPr>
        <w:t>’</w:t>
      </w:r>
      <w:r w:rsidRPr="00AE0290">
        <w:rPr>
          <w:rFonts w:ascii="Times New Roman" w:eastAsia="SimSun" w:hAnsi="Times New Roman" w:cs="Times New Roman" w:hint="eastAsia"/>
          <w:sz w:val="24"/>
        </w:rPr>
        <w:t>s energy</w:t>
      </w:r>
      <w:r w:rsidR="006F2199">
        <w:rPr>
          <w:rFonts w:ascii="Times New Roman" w:eastAsia="SimSun" w:hAnsi="Times New Roman" w:cs="Times New Roman"/>
          <w:sz w:val="24"/>
        </w:rPr>
        <w:t>,</w:t>
      </w:r>
      <w:r w:rsidR="00AD5280">
        <w:rPr>
          <w:rFonts w:ascii="Times New Roman" w:eastAsia="SimSun" w:hAnsi="Times New Roman" w:cs="Times New Roman"/>
          <w:sz w:val="24"/>
        </w:rPr>
        <w:t xml:space="preserve"> </w:t>
      </w:r>
      <w:r w:rsidRPr="00AE0290">
        <w:rPr>
          <w:rFonts w:ascii="Times New Roman" w:eastAsia="SimSun" w:hAnsi="Times New Roman" w:cs="Times New Roman" w:hint="eastAsia"/>
          <w:sz w:val="24"/>
        </w:rPr>
        <w:t>and their carbon emissions have surpassed 70% of the global total</w:t>
      </w:r>
      <w:r w:rsidR="001A38D9">
        <w:rPr>
          <w:rFonts w:ascii="Times New Roman" w:eastAsia="SimSun" w:hAnsi="Times New Roman" w:cs="Times New Roman"/>
          <w:sz w:val="24"/>
        </w:rPr>
        <w:t xml:space="preserve"> </w:t>
      </w:r>
      <w:r w:rsidR="001A38D9">
        <w:rPr>
          <w:rFonts w:ascii="Times New Roman" w:eastAsia="SimSun" w:hAnsi="Times New Roman" w:cs="Times New Roman" w:hint="eastAsia"/>
          <w:sz w:val="24"/>
        </w:rPr>
        <w:t>(</w:t>
      </w:r>
      <w:r w:rsidR="001A38D9">
        <w:rPr>
          <w:rFonts w:ascii="Times New Roman" w:eastAsia="SimSun" w:hAnsi="Times New Roman" w:cs="Times New Roman"/>
          <w:sz w:val="24"/>
        </w:rPr>
        <w:t>IEA, 2021</w:t>
      </w:r>
      <w:r w:rsidR="001A38D9">
        <w:rPr>
          <w:rFonts w:ascii="Times New Roman" w:eastAsia="SimSun" w:hAnsi="Times New Roman" w:cs="Times New Roman" w:hint="eastAsia"/>
          <w:sz w:val="24"/>
        </w:rPr>
        <w:t>)</w:t>
      </w:r>
      <w:r w:rsidRPr="00AE0290">
        <w:rPr>
          <w:rFonts w:ascii="Times New Roman" w:eastAsia="SimSun" w:hAnsi="Times New Roman" w:cs="Times New Roman" w:hint="eastAsia"/>
          <w:sz w:val="24"/>
        </w:rPr>
        <w:t>.</w:t>
      </w:r>
      <w:r>
        <w:rPr>
          <w:rFonts w:ascii="Times New Roman" w:eastAsia="SimSun" w:hAnsi="Times New Roman" w:cs="Times New Roman"/>
          <w:sz w:val="24"/>
        </w:rPr>
        <w:t xml:space="preserve"> </w:t>
      </w:r>
      <w:r w:rsidRPr="00AE0290">
        <w:rPr>
          <w:rFonts w:ascii="Times New Roman" w:eastAsia="SimSun" w:hAnsi="Times New Roman" w:cs="Times New Roman" w:hint="eastAsia"/>
          <w:sz w:val="24"/>
        </w:rPr>
        <w:t>It is estimated that by 2040, the building sector will account for 35% of the global electricity demand growth. The rapid increase in urban energy consumption and carbon emissions is of concern and there is an urgent need to take measures to</w:t>
      </w:r>
      <w:r w:rsidRPr="00AE0290">
        <w:rPr>
          <w:rFonts w:ascii="Times New Roman" w:eastAsia="SimSun" w:hAnsi="Times New Roman" w:cs="Times New Roman"/>
          <w:sz w:val="24"/>
        </w:rPr>
        <w:t xml:space="preserve"> promote energy conservation and emission reduction in cities.</w:t>
      </w:r>
    </w:p>
    <w:p w14:paraId="64B70074" w14:textId="633BC6BA" w:rsidR="00B5059A" w:rsidRDefault="00E37B1C">
      <w:pPr>
        <w:spacing w:line="360" w:lineRule="auto"/>
        <w:ind w:firstLine="720"/>
        <w:rPr>
          <w:rFonts w:ascii="Times New Roman" w:eastAsia="SimSun" w:hAnsi="Times New Roman" w:cs="Times New Roman"/>
          <w:sz w:val="24"/>
        </w:rPr>
      </w:pPr>
      <w:r>
        <w:rPr>
          <w:rFonts w:ascii="Times New Roman" w:eastAsia="SimSun" w:hAnsi="Times New Roman" w:cs="Times New Roman"/>
          <w:sz w:val="24"/>
        </w:rPr>
        <w:t xml:space="preserve">Fossil fuel combustion is the main contributor to carbon emissions to meet urban energy demand. The combustion of carbon-based substances causes a large amount of carbon dioxide emissions into the air and bring potential negative health effect on the human. Mitigation of carbon emissions needs to implement a </w:t>
      </w:r>
      <w:proofErr w:type="gramStart"/>
      <w:r>
        <w:rPr>
          <w:rFonts w:ascii="Times New Roman" w:eastAsia="SimSun" w:hAnsi="Times New Roman" w:cs="Times New Roman"/>
          <w:sz w:val="24"/>
        </w:rPr>
        <w:t>zero energy</w:t>
      </w:r>
      <w:proofErr w:type="gramEnd"/>
      <w:r>
        <w:rPr>
          <w:rFonts w:ascii="Times New Roman" w:eastAsia="SimSun" w:hAnsi="Times New Roman" w:cs="Times New Roman"/>
          <w:sz w:val="24"/>
        </w:rPr>
        <w:t xml:space="preserve"> building policy. Clean and renewable energy is the most important issue for a city’s sustainability and resilience. </w:t>
      </w:r>
    </w:p>
    <w:p w14:paraId="3C993816" w14:textId="5BB4ED55" w:rsidR="00B5059A" w:rsidRDefault="00000000" w:rsidP="0056753C">
      <w:pPr>
        <w:spacing w:line="360" w:lineRule="auto"/>
        <w:ind w:firstLine="720"/>
        <w:rPr>
          <w:rFonts w:ascii="Times New Roman" w:hAnsi="Times New Roman" w:cs="Times New Roman"/>
          <w:sz w:val="24"/>
          <w:szCs w:val="32"/>
        </w:rPr>
      </w:pPr>
      <w:r>
        <w:rPr>
          <w:rFonts w:ascii="Times New Roman" w:hAnsi="Times New Roman" w:cs="Times New Roman"/>
          <w:sz w:val="24"/>
          <w:szCs w:val="32"/>
        </w:rPr>
        <w:t>Human activities and urbanization have a negative impact on biodiversity comparing its original nature elements</w:t>
      </w:r>
      <w:r w:rsidR="0056753C">
        <w:rPr>
          <w:rFonts w:ascii="Times New Roman" w:hAnsi="Times New Roman" w:cs="Times New Roman"/>
          <w:sz w:val="24"/>
          <w:szCs w:val="32"/>
        </w:rPr>
        <w:t xml:space="preserve">. </w:t>
      </w:r>
      <w:r w:rsidR="0056753C" w:rsidRPr="0056753C">
        <w:rPr>
          <w:rFonts w:ascii="Times New Roman" w:hAnsi="Times New Roman" w:cs="Times New Roman"/>
          <w:sz w:val="24"/>
          <w:szCs w:val="32"/>
        </w:rPr>
        <w:t>Landscape plant species with their notable influence on human well-being, are important components of the urban ecosystem.</w:t>
      </w:r>
      <w:r w:rsidR="00AD5280">
        <w:rPr>
          <w:rFonts w:ascii="Times New Roman" w:hAnsi="Times New Roman" w:cs="Times New Roman"/>
          <w:sz w:val="24"/>
          <w:szCs w:val="32"/>
        </w:rPr>
        <w:t xml:space="preserve"> </w:t>
      </w:r>
      <w:r w:rsidR="0056753C">
        <w:rPr>
          <w:rFonts w:ascii="Times New Roman" w:hAnsi="Times New Roman" w:cs="Times New Roman"/>
          <w:sz w:val="24"/>
          <w:szCs w:val="32"/>
        </w:rPr>
        <w:t>U</w:t>
      </w:r>
      <w:r w:rsidR="0056753C" w:rsidRPr="0056753C">
        <w:rPr>
          <w:rFonts w:ascii="Times New Roman" w:hAnsi="Times New Roman" w:cs="Times New Roman"/>
          <w:sz w:val="24"/>
          <w:szCs w:val="32"/>
        </w:rPr>
        <w:t xml:space="preserve">rban greening </w:t>
      </w:r>
      <w:r w:rsidR="0056753C">
        <w:rPr>
          <w:rFonts w:ascii="Times New Roman" w:hAnsi="Times New Roman" w:cs="Times New Roman"/>
          <w:sz w:val="24"/>
          <w:szCs w:val="32"/>
        </w:rPr>
        <w:t xml:space="preserve">is expected to avoid </w:t>
      </w:r>
      <w:r w:rsidR="0056753C" w:rsidRPr="0056753C">
        <w:rPr>
          <w:rFonts w:ascii="Times New Roman" w:hAnsi="Times New Roman" w:cs="Times New Roman"/>
          <w:sz w:val="24"/>
          <w:szCs w:val="32"/>
        </w:rPr>
        <w:t>biotic homogenization.</w:t>
      </w:r>
      <w:r w:rsidR="0056753C">
        <w:rPr>
          <w:rFonts w:ascii="Times New Roman" w:hAnsi="Times New Roman" w:cs="Times New Roman"/>
          <w:sz w:val="24"/>
          <w:szCs w:val="32"/>
        </w:rPr>
        <w:t xml:space="preserve"> </w:t>
      </w:r>
      <w:r>
        <w:rPr>
          <w:rFonts w:ascii="Times New Roman" w:hAnsi="Times New Roman" w:cs="Times New Roman" w:hint="eastAsia"/>
          <w:sz w:val="24"/>
          <w:szCs w:val="32"/>
        </w:rPr>
        <w:t xml:space="preserve">This will help the urban designer thinking as well </w:t>
      </w:r>
      <w:r>
        <w:rPr>
          <w:rFonts w:ascii="Times New Roman" w:hAnsi="Times New Roman" w:cs="Times New Roman"/>
          <w:sz w:val="24"/>
          <w:szCs w:val="32"/>
        </w:rPr>
        <w:t>a</w:t>
      </w:r>
      <w:r>
        <w:rPr>
          <w:rFonts w:ascii="Times New Roman" w:hAnsi="Times New Roman" w:cs="Times New Roman" w:hint="eastAsia"/>
          <w:sz w:val="24"/>
          <w:szCs w:val="32"/>
        </w:rPr>
        <w:t>s the decision</w:t>
      </w:r>
      <w:r w:rsidR="00E37B1C">
        <w:rPr>
          <w:rFonts w:ascii="Times New Roman" w:hAnsi="Times New Roman" w:cs="Times New Roman"/>
          <w:sz w:val="24"/>
          <w:szCs w:val="32"/>
        </w:rPr>
        <w:t>-</w:t>
      </w:r>
      <w:r>
        <w:rPr>
          <w:rFonts w:ascii="Times New Roman" w:hAnsi="Times New Roman" w:cs="Times New Roman" w:hint="eastAsia"/>
          <w:sz w:val="24"/>
          <w:szCs w:val="32"/>
        </w:rPr>
        <w:t>making</w:t>
      </w:r>
      <w:r>
        <w:rPr>
          <w:rFonts w:ascii="Times New Roman" w:hAnsi="Times New Roman" w:cs="Times New Roman"/>
          <w:sz w:val="24"/>
          <w:szCs w:val="32"/>
        </w:rPr>
        <w:t xml:space="preserve"> on </w:t>
      </w:r>
      <w:r>
        <w:rPr>
          <w:rFonts w:ascii="Times New Roman" w:hAnsi="Times New Roman" w:cs="Times New Roman" w:hint="eastAsia"/>
          <w:sz w:val="24"/>
          <w:szCs w:val="32"/>
        </w:rPr>
        <w:t>protecting human well</w:t>
      </w:r>
      <w:r w:rsidR="00AD5280">
        <w:rPr>
          <w:rFonts w:ascii="Times New Roman" w:hAnsi="Times New Roman" w:cs="Times New Roman"/>
          <w:sz w:val="24"/>
          <w:szCs w:val="32"/>
        </w:rPr>
        <w:t>-</w:t>
      </w:r>
      <w:r>
        <w:rPr>
          <w:rFonts w:ascii="Times New Roman" w:hAnsi="Times New Roman" w:cs="Times New Roman" w:hint="eastAsia"/>
          <w:sz w:val="24"/>
          <w:szCs w:val="32"/>
        </w:rPr>
        <w:t>being and environment</w:t>
      </w:r>
      <w:r w:rsidR="00E37B1C">
        <w:rPr>
          <w:rFonts w:ascii="Times New Roman" w:hAnsi="Times New Roman" w:cs="Times New Roman"/>
          <w:sz w:val="24"/>
          <w:szCs w:val="32"/>
        </w:rPr>
        <w:t>al</w:t>
      </w:r>
      <w:r>
        <w:rPr>
          <w:rFonts w:ascii="Times New Roman" w:hAnsi="Times New Roman" w:cs="Times New Roman" w:hint="eastAsia"/>
          <w:sz w:val="24"/>
          <w:szCs w:val="32"/>
        </w:rPr>
        <w:t xml:space="preserve"> biodiversity. Urban biodiversity </w:t>
      </w:r>
      <w:r>
        <w:rPr>
          <w:rFonts w:ascii="Times New Roman" w:hAnsi="Times New Roman" w:cs="Times New Roman" w:hint="eastAsia"/>
          <w:sz w:val="24"/>
          <w:szCs w:val="32"/>
        </w:rPr>
        <w:lastRenderedPageBreak/>
        <w:t>study can determine the practical relevance of tools for different types of audiences, including designers, planners, and ecology working in different stages of urban development and design processes.</w:t>
      </w:r>
    </w:p>
    <w:p w14:paraId="5601DF55" w14:textId="4701B2F1" w:rsidR="00B5059A" w:rsidRPr="009669B9" w:rsidRDefault="0088468F" w:rsidP="009669B9">
      <w:pPr>
        <w:pStyle w:val="ListParagraph"/>
        <w:numPr>
          <w:ilvl w:val="1"/>
          <w:numId w:val="2"/>
        </w:numPr>
        <w:spacing w:line="360" w:lineRule="auto"/>
        <w:rPr>
          <w:rFonts w:ascii="Times New Roman" w:eastAsia="SimSun" w:hAnsi="Times New Roman" w:cs="Times New Roman"/>
          <w:b/>
          <w:bCs/>
          <w:sz w:val="24"/>
        </w:rPr>
      </w:pPr>
      <w:r w:rsidRPr="009669B9">
        <w:rPr>
          <w:rFonts w:ascii="Times New Roman" w:eastAsia="SimSun" w:hAnsi="Times New Roman" w:cs="Times New Roman"/>
          <w:b/>
          <w:bCs/>
          <w:sz w:val="24"/>
        </w:rPr>
        <w:t xml:space="preserve">Sustainability and resilience </w:t>
      </w:r>
    </w:p>
    <w:p w14:paraId="613F84F3" w14:textId="4ACBC769" w:rsidR="00CE26D4" w:rsidRPr="00E30FE2" w:rsidRDefault="00E1794E" w:rsidP="009669B9">
      <w:pPr>
        <w:spacing w:line="360" w:lineRule="auto"/>
        <w:ind w:firstLine="720"/>
        <w:rPr>
          <w:rFonts w:ascii="Times New Roman" w:eastAsia="SimSun" w:hAnsi="Times New Roman" w:cs="Times New Roman"/>
          <w:sz w:val="24"/>
        </w:rPr>
      </w:pPr>
      <w:r w:rsidRPr="00E1794E">
        <w:rPr>
          <w:rFonts w:ascii="Times New Roman" w:eastAsia="SimSun" w:hAnsi="Times New Roman" w:cs="Times New Roman"/>
          <w:sz w:val="24"/>
        </w:rPr>
        <w:t>Urban Sustainability consists of appreciating and balancing the three pillars of sustainable development (economic, social and environmental), whilst also being inclusive and equitable. While City Resilience indicates the city's capacity to adapt to changing conditions and withstand and rapidly recover from disruption due to emergencies</w:t>
      </w:r>
      <w:r w:rsidR="0088468F">
        <w:rPr>
          <w:rFonts w:ascii="Times New Roman" w:eastAsia="SimSun" w:hAnsi="Times New Roman" w:cs="Times New Roman"/>
          <w:sz w:val="24"/>
        </w:rPr>
        <w:t xml:space="preserve">. </w:t>
      </w:r>
      <w:r w:rsidRPr="00E1794E">
        <w:rPr>
          <w:rFonts w:ascii="Times New Roman" w:eastAsia="SimSun" w:hAnsi="Times New Roman" w:cs="Times New Roman"/>
          <w:sz w:val="24"/>
        </w:rPr>
        <w:t>A sustainable and resilient city is the development path for future cities facing increasingly unknown urbanization challenges.</w:t>
      </w:r>
      <w:r>
        <w:rPr>
          <w:rFonts w:ascii="Times New Roman" w:eastAsia="SimSun" w:hAnsi="Times New Roman" w:cs="Times New Roman"/>
          <w:sz w:val="24"/>
        </w:rPr>
        <w:t xml:space="preserve"> </w:t>
      </w:r>
      <w:r w:rsidR="0088468F">
        <w:rPr>
          <w:rFonts w:ascii="Times New Roman" w:eastAsia="SimSun" w:hAnsi="Times New Roman" w:cs="Times New Roman"/>
          <w:sz w:val="24"/>
        </w:rPr>
        <w:t>Responding to climate change, p</w:t>
      </w:r>
      <w:r w:rsidR="00E30FE2" w:rsidRPr="00E30FE2">
        <w:rPr>
          <w:rFonts w:ascii="Times New Roman" w:eastAsia="SimSun" w:hAnsi="Times New Roman" w:cs="Times New Roman"/>
          <w:sz w:val="24"/>
        </w:rPr>
        <w:t>olicies are recognized as mandatory guiding decisions that can safeguard the fair interests of the majority of people</w:t>
      </w:r>
      <w:r w:rsidR="00E30FE2" w:rsidRPr="00E30FE2">
        <w:rPr>
          <w:rFonts w:ascii="Times New Roman" w:eastAsia="SimSun" w:hAnsi="Times New Roman" w:cs="Times New Roman" w:hint="eastAsia"/>
          <w:sz w:val="24"/>
        </w:rPr>
        <w:t xml:space="preserve"> </w:t>
      </w:r>
      <w:r w:rsidR="009669B9">
        <w:rPr>
          <w:rFonts w:ascii="Times New Roman" w:eastAsia="SimSun" w:hAnsi="Times New Roman" w:cs="Times New Roman"/>
          <w:sz w:val="24"/>
        </w:rPr>
        <w:t xml:space="preserve">and </w:t>
      </w:r>
      <w:r w:rsidR="00E30FE2" w:rsidRPr="00E30FE2">
        <w:rPr>
          <w:rFonts w:ascii="Times New Roman" w:eastAsia="SimSun" w:hAnsi="Times New Roman" w:cs="Times New Roman" w:hint="eastAsia"/>
          <w:sz w:val="24"/>
        </w:rPr>
        <w:t xml:space="preserve">thus plays </w:t>
      </w:r>
      <w:r>
        <w:rPr>
          <w:rFonts w:ascii="Times New Roman" w:eastAsia="SimSun" w:hAnsi="Times New Roman" w:cs="Times New Roman"/>
          <w:sz w:val="24"/>
        </w:rPr>
        <w:t xml:space="preserve">a </w:t>
      </w:r>
      <w:r w:rsidR="00E30FE2" w:rsidRPr="00E30FE2">
        <w:rPr>
          <w:rFonts w:ascii="Times New Roman" w:eastAsia="SimSun" w:hAnsi="Times New Roman" w:cs="Times New Roman" w:hint="eastAsia"/>
          <w:sz w:val="24"/>
        </w:rPr>
        <w:t xml:space="preserve">vital role in society. </w:t>
      </w:r>
      <w:r w:rsidR="00E30FE2" w:rsidRPr="00E30FE2">
        <w:rPr>
          <w:rFonts w:ascii="Times New Roman" w:eastAsia="SimSun" w:hAnsi="Times New Roman" w:cs="Times New Roman"/>
          <w:sz w:val="24"/>
        </w:rPr>
        <w:t xml:space="preserve">United Nations Sustainable Development Goal (UN SDG) is promoted for providing a sustainable index and goals for humans, requiring people in all stages together to build a sustainable world for humans and the next generation. </w:t>
      </w:r>
      <w:r w:rsidR="00615A89" w:rsidRPr="00615A89">
        <w:rPr>
          <w:rFonts w:ascii="Times New Roman" w:eastAsia="SimSun" w:hAnsi="Times New Roman" w:cs="Times New Roman"/>
          <w:sz w:val="24"/>
        </w:rPr>
        <w:t>The target of ‘Good health and well-being’ is one of the United Nations' 17 Sustainable Development Goals.</w:t>
      </w:r>
    </w:p>
    <w:p w14:paraId="0B0C4B6C" w14:textId="0CFDDBA9" w:rsidR="00B5059A" w:rsidRPr="00CE26D4" w:rsidRDefault="00CE26D4" w:rsidP="009669B9">
      <w:pPr>
        <w:spacing w:line="360" w:lineRule="auto"/>
        <w:rPr>
          <w:rFonts w:ascii="Times New Roman" w:hAnsi="Times New Roman" w:cs="Times New Roman"/>
          <w:sz w:val="24"/>
        </w:rPr>
      </w:pPr>
      <w:r>
        <w:rPr>
          <w:rFonts w:ascii="Times New Roman" w:eastAsia="SimSun" w:hAnsi="Times New Roman" w:cs="Times New Roman"/>
          <w:sz w:val="24"/>
        </w:rPr>
        <w:tab/>
      </w:r>
      <w:r w:rsidR="0056753C" w:rsidRPr="0056753C">
        <w:rPr>
          <w:rFonts w:ascii="Times New Roman" w:eastAsia="SimSun" w:hAnsi="Times New Roman" w:cs="Times New Roman"/>
          <w:sz w:val="24"/>
        </w:rPr>
        <w:t xml:space="preserve">The holistic system thinking approach is considered in the improvement of urban living environments. Cities require a systems approach for planning, design and management. The living environment as a whole in a city covers all aspects like a community unit together as a pyramid, it needs intelligent structures and infrastructures, social provision, amenities and basic property rights for its citizens. </w:t>
      </w:r>
      <w:r w:rsidR="00615A89">
        <w:rPr>
          <w:rFonts w:ascii="Times New Roman" w:eastAsia="SimSun" w:hAnsi="Times New Roman" w:cs="Times New Roman"/>
          <w:sz w:val="24"/>
        </w:rPr>
        <w:t>I</w:t>
      </w:r>
      <w:r w:rsidR="0056753C" w:rsidRPr="0056753C">
        <w:rPr>
          <w:rFonts w:ascii="Times New Roman" w:eastAsia="SimSun" w:hAnsi="Times New Roman" w:cs="Times New Roman"/>
          <w:sz w:val="24"/>
        </w:rPr>
        <w:t xml:space="preserve">t is essential to set a vision for all the stakeholders so they feel comfortable and have easy access to clean, sufficient and daily needs. </w:t>
      </w:r>
      <w:r w:rsidR="003B1728">
        <w:rPr>
          <w:rFonts w:ascii="Times New Roman" w:eastAsia="SimSun" w:hAnsi="Times New Roman" w:cs="Times New Roman"/>
          <w:sz w:val="24"/>
        </w:rPr>
        <w:t>The sustainable and resilient city should have functions of p</w:t>
      </w:r>
      <w:r w:rsidR="0056753C" w:rsidRPr="0056753C">
        <w:rPr>
          <w:rFonts w:ascii="Times New Roman" w:eastAsia="SimSun" w:hAnsi="Times New Roman" w:cs="Times New Roman"/>
          <w:sz w:val="24"/>
        </w:rPr>
        <w:t>roviding sufficient energy</w:t>
      </w:r>
      <w:r w:rsidR="003B1728">
        <w:rPr>
          <w:rFonts w:ascii="Times New Roman" w:eastAsia="SimSun" w:hAnsi="Times New Roman" w:cs="Times New Roman"/>
          <w:sz w:val="24"/>
        </w:rPr>
        <w:t>, clean air and</w:t>
      </w:r>
      <w:r w:rsidR="009669B9">
        <w:rPr>
          <w:rFonts w:ascii="Times New Roman" w:eastAsia="SimSun" w:hAnsi="Times New Roman" w:cs="Times New Roman"/>
          <w:sz w:val="24"/>
        </w:rPr>
        <w:t xml:space="preserve"> </w:t>
      </w:r>
      <w:r w:rsidR="0056753C" w:rsidRPr="0056753C">
        <w:rPr>
          <w:rFonts w:ascii="Times New Roman" w:eastAsia="SimSun" w:hAnsi="Times New Roman" w:cs="Times New Roman"/>
          <w:sz w:val="24"/>
        </w:rPr>
        <w:t xml:space="preserve">water, </w:t>
      </w:r>
      <w:r w:rsidR="003B1728">
        <w:rPr>
          <w:rFonts w:ascii="Times New Roman" w:eastAsia="SimSun" w:hAnsi="Times New Roman" w:cs="Times New Roman"/>
          <w:sz w:val="24"/>
        </w:rPr>
        <w:t>flood resilien</w:t>
      </w:r>
      <w:r w:rsidR="00D81B12">
        <w:rPr>
          <w:rFonts w:ascii="Times New Roman" w:eastAsia="SimSun" w:hAnsi="Times New Roman" w:cs="Times New Roman"/>
          <w:sz w:val="24"/>
        </w:rPr>
        <w:t>ce</w:t>
      </w:r>
      <w:r w:rsidR="003B1728">
        <w:rPr>
          <w:rFonts w:ascii="Times New Roman" w:eastAsia="SimSun" w:hAnsi="Times New Roman" w:cs="Times New Roman"/>
          <w:sz w:val="24"/>
        </w:rPr>
        <w:t xml:space="preserve">, and </w:t>
      </w:r>
      <w:r w:rsidR="0056753C" w:rsidRPr="0056753C">
        <w:rPr>
          <w:rFonts w:ascii="Times New Roman" w:eastAsia="SimSun" w:hAnsi="Times New Roman" w:cs="Times New Roman"/>
          <w:sz w:val="24"/>
        </w:rPr>
        <w:t xml:space="preserve">be accessible </w:t>
      </w:r>
      <w:r w:rsidR="00F7535B">
        <w:rPr>
          <w:rFonts w:ascii="Times New Roman" w:eastAsia="SimSun" w:hAnsi="Times New Roman" w:cs="Times New Roman"/>
          <w:sz w:val="24"/>
        </w:rPr>
        <w:t>to</w:t>
      </w:r>
      <w:r w:rsidR="00F7535B" w:rsidRPr="0056753C">
        <w:rPr>
          <w:rFonts w:ascii="Times New Roman" w:eastAsia="SimSun" w:hAnsi="Times New Roman" w:cs="Times New Roman"/>
          <w:sz w:val="24"/>
        </w:rPr>
        <w:t xml:space="preserve"> </w:t>
      </w:r>
      <w:r w:rsidR="0056753C" w:rsidRPr="0056753C">
        <w:rPr>
          <w:rFonts w:ascii="Times New Roman" w:eastAsia="SimSun" w:hAnsi="Times New Roman" w:cs="Times New Roman"/>
          <w:sz w:val="24"/>
        </w:rPr>
        <w:t>everyone</w:t>
      </w:r>
      <w:r w:rsidR="003B1728">
        <w:rPr>
          <w:rFonts w:ascii="Times New Roman" w:eastAsia="SimSun" w:hAnsi="Times New Roman" w:cs="Times New Roman"/>
          <w:sz w:val="24"/>
        </w:rPr>
        <w:t>.</w:t>
      </w:r>
      <w:r w:rsidR="0056753C" w:rsidRPr="00CE26D4">
        <w:rPr>
          <w:rFonts w:ascii="Times New Roman" w:eastAsia="SimSun" w:hAnsi="Times New Roman" w:cs="Times New Roman"/>
          <w:sz w:val="24"/>
        </w:rPr>
        <w:t xml:space="preserve"> </w:t>
      </w:r>
      <w:r w:rsidR="0056753C" w:rsidRPr="00CE26D4">
        <w:rPr>
          <w:rFonts w:ascii="Times New Roman" w:hAnsi="Times New Roman" w:cs="Times New Roman"/>
          <w:sz w:val="24"/>
        </w:rPr>
        <w:t xml:space="preserve">System thinking </w:t>
      </w:r>
      <w:r w:rsidR="00F7535B" w:rsidRPr="00CE26D4">
        <w:rPr>
          <w:rFonts w:ascii="Times New Roman" w:hAnsi="Times New Roman" w:cs="Times New Roman"/>
          <w:sz w:val="24"/>
        </w:rPr>
        <w:t xml:space="preserve">is </w:t>
      </w:r>
      <w:r w:rsidR="0056753C" w:rsidRPr="00CE26D4">
        <w:rPr>
          <w:rFonts w:ascii="Times New Roman" w:hAnsi="Times New Roman" w:cs="Times New Roman"/>
          <w:sz w:val="24"/>
        </w:rPr>
        <w:t>a key improvement in an urban living environment.</w:t>
      </w:r>
      <w:r w:rsidR="00F7535B" w:rsidRPr="00CE26D4">
        <w:rPr>
          <w:rFonts w:ascii="Times New Roman" w:hAnsi="Times New Roman" w:cs="Times New Roman"/>
          <w:sz w:val="24"/>
        </w:rPr>
        <w:t xml:space="preserve"> </w:t>
      </w:r>
    </w:p>
    <w:p w14:paraId="1BF96335" w14:textId="77777777" w:rsidR="0056753C" w:rsidRDefault="0056753C">
      <w:pPr>
        <w:pStyle w:val="ListParagraph"/>
        <w:spacing w:line="360" w:lineRule="auto"/>
        <w:ind w:left="0"/>
        <w:rPr>
          <w:rFonts w:ascii="Times New Roman" w:eastAsia="SimSun" w:hAnsi="Times New Roman" w:cs="Times New Roman"/>
          <w:sz w:val="24"/>
        </w:rPr>
      </w:pPr>
    </w:p>
    <w:p w14:paraId="71B62C6C" w14:textId="5D9EF8C5" w:rsidR="00B5059A" w:rsidRPr="009669B9" w:rsidRDefault="00000000" w:rsidP="009669B9">
      <w:pPr>
        <w:pStyle w:val="ListParagraph"/>
        <w:numPr>
          <w:ilvl w:val="1"/>
          <w:numId w:val="2"/>
        </w:numPr>
        <w:spacing w:line="360" w:lineRule="auto"/>
        <w:rPr>
          <w:rFonts w:ascii="Times New Roman" w:eastAsia="SimSun" w:hAnsi="Times New Roman" w:cs="Times New Roman"/>
          <w:b/>
          <w:bCs/>
          <w:sz w:val="24"/>
        </w:rPr>
      </w:pPr>
      <w:r w:rsidRPr="009669B9">
        <w:rPr>
          <w:rFonts w:ascii="Times New Roman" w:eastAsia="SimSun" w:hAnsi="Times New Roman" w:cs="Times New Roman"/>
          <w:b/>
          <w:bCs/>
          <w:sz w:val="24"/>
        </w:rPr>
        <w:t xml:space="preserve">Summary </w:t>
      </w:r>
    </w:p>
    <w:p w14:paraId="62D78936" w14:textId="36BA9261" w:rsidR="00B5059A" w:rsidRDefault="00000000">
      <w:pPr>
        <w:spacing w:line="360" w:lineRule="auto"/>
        <w:ind w:firstLine="720"/>
        <w:rPr>
          <w:rFonts w:ascii="Times New Roman" w:eastAsia="SimSun" w:hAnsi="Times New Roman" w:cs="Times New Roman"/>
          <w:sz w:val="24"/>
        </w:rPr>
      </w:pPr>
      <w:r>
        <w:rPr>
          <w:rFonts w:ascii="Times New Roman" w:eastAsia="SimSun" w:hAnsi="Times New Roman" w:cs="Times New Roman"/>
          <w:sz w:val="24"/>
        </w:rPr>
        <w:t xml:space="preserve">The </w:t>
      </w:r>
      <w:proofErr w:type="spellStart"/>
      <w:r>
        <w:rPr>
          <w:rFonts w:ascii="Times New Roman" w:eastAsia="SimSun" w:hAnsi="Times New Roman" w:cs="Times New Roman"/>
          <w:sz w:val="24"/>
        </w:rPr>
        <w:t>liveable</w:t>
      </w:r>
      <w:proofErr w:type="spellEnd"/>
      <w:r>
        <w:rPr>
          <w:rFonts w:ascii="Times New Roman" w:eastAsia="SimSun" w:hAnsi="Times New Roman" w:cs="Times New Roman"/>
          <w:sz w:val="24"/>
        </w:rPr>
        <w:t xml:space="preserve"> cities include factors affecting </w:t>
      </w:r>
      <w:proofErr w:type="spellStart"/>
      <w:r>
        <w:rPr>
          <w:rFonts w:ascii="Times New Roman" w:eastAsia="SimSun" w:hAnsi="Times New Roman" w:cs="Times New Roman"/>
          <w:sz w:val="24"/>
        </w:rPr>
        <w:t>liveability</w:t>
      </w:r>
      <w:proofErr w:type="spellEnd"/>
      <w:r>
        <w:rPr>
          <w:rFonts w:ascii="Times New Roman" w:eastAsia="SimSun" w:hAnsi="Times New Roman" w:cs="Times New Roman"/>
          <w:sz w:val="24"/>
        </w:rPr>
        <w:t xml:space="preserve">; ecological and biophilic cities; economic values; health and well-being and opportunities for people. There is a basic human need for a social dynamic and cities provide this for people. Cities are like organisms pulsing with life bounded by economic, ecological, health, and well-being requirements. Physical and social health is addressed in the context of resilient cities in Chapter 2. This Chapter defines the features of sustainable </w:t>
      </w:r>
      <w:proofErr w:type="spellStart"/>
      <w:r>
        <w:rPr>
          <w:rFonts w:ascii="Times New Roman" w:eastAsia="SimSun" w:hAnsi="Times New Roman" w:cs="Times New Roman"/>
          <w:sz w:val="24"/>
        </w:rPr>
        <w:t>liveable</w:t>
      </w:r>
      <w:proofErr w:type="spellEnd"/>
      <w:r>
        <w:rPr>
          <w:rFonts w:ascii="Times New Roman" w:eastAsia="SimSun" w:hAnsi="Times New Roman" w:cs="Times New Roman"/>
          <w:sz w:val="24"/>
        </w:rPr>
        <w:t xml:space="preserve"> cities and reviews how cities can function in a climate change-respectful way but also be joyful places for people to be.</w:t>
      </w:r>
    </w:p>
    <w:p w14:paraId="01B7C11A" w14:textId="77777777" w:rsidR="00B5059A" w:rsidRDefault="00000000">
      <w:pPr>
        <w:spacing w:line="360" w:lineRule="auto"/>
        <w:ind w:firstLine="720"/>
        <w:rPr>
          <w:rFonts w:ascii="Times New Roman" w:eastAsia="SimSun" w:hAnsi="Times New Roman" w:cs="Times New Roman"/>
          <w:sz w:val="24"/>
        </w:rPr>
      </w:pPr>
      <w:r>
        <w:rPr>
          <w:rFonts w:ascii="Times New Roman" w:eastAsia="SimSun" w:hAnsi="Times New Roman" w:cs="Times New Roman"/>
          <w:sz w:val="24"/>
        </w:rPr>
        <w:t xml:space="preserve">People in cities use outdoor space for a wide range of activities such as exercise, rest, </w:t>
      </w:r>
      <w:r>
        <w:rPr>
          <w:rFonts w:ascii="Times New Roman" w:eastAsia="SimSun" w:hAnsi="Times New Roman" w:cs="Times New Roman"/>
          <w:sz w:val="24"/>
        </w:rPr>
        <w:lastRenderedPageBreak/>
        <w:t xml:space="preserve">and </w:t>
      </w:r>
      <w:proofErr w:type="spellStart"/>
      <w:r>
        <w:rPr>
          <w:rFonts w:ascii="Times New Roman" w:eastAsia="SimSun" w:hAnsi="Times New Roman" w:cs="Times New Roman"/>
          <w:sz w:val="24"/>
        </w:rPr>
        <w:t>socialising</w:t>
      </w:r>
      <w:proofErr w:type="spellEnd"/>
      <w:r>
        <w:rPr>
          <w:rFonts w:ascii="Times New Roman" w:eastAsia="SimSun" w:hAnsi="Times New Roman" w:cs="Times New Roman"/>
          <w:sz w:val="24"/>
        </w:rPr>
        <w:t xml:space="preserve">. Climate change, Urban Heat Islands, and extreme heatwave events are threats to pedestrians’ health and well-being. Good urban planning and design can provide a high-quality urban living environment by meeting the need for outdoor thermal comfort and thermal resilience. Chapter 3 presents the human adaptation mechanism for achieving outdoor thermal comfort, the factors that influence it, strategies for thermal resilience, the management of heat risk, and thermal comfort assessment methods to use. </w:t>
      </w:r>
    </w:p>
    <w:p w14:paraId="0177A5D1" w14:textId="77777777" w:rsidR="00B5059A" w:rsidRDefault="00000000" w:rsidP="009669B9">
      <w:pPr>
        <w:spacing w:line="360" w:lineRule="auto"/>
        <w:ind w:firstLine="720"/>
        <w:rPr>
          <w:rFonts w:ascii="Times New Roman" w:eastAsia="SimSun" w:hAnsi="Times New Roman" w:cs="Times New Roman"/>
          <w:sz w:val="24"/>
        </w:rPr>
      </w:pPr>
      <w:r>
        <w:rPr>
          <w:rFonts w:ascii="Times New Roman" w:eastAsia="SimSun" w:hAnsi="Times New Roman" w:cs="Times New Roman"/>
          <w:sz w:val="24"/>
        </w:rPr>
        <w:t xml:space="preserve">Heatwaves and high temperatures are associated with increased mortality risks and the burden may keep rising in the future. Chapter 4 provides evidence of climate change and the mortality risks of heat waves and high temperatures. This study examined the population's vulnerability to heatwaves and high temperatures, including demographic and climatic modifications, highlighting the necessity for adaptation measures against heat stress to contribute to the reduction of the heat-related mortality burden. The method of estimating the city-specific risks has been presented. </w:t>
      </w:r>
    </w:p>
    <w:p w14:paraId="6620EC36" w14:textId="2E8E73E6" w:rsidR="00B5059A" w:rsidRDefault="00000000">
      <w:pPr>
        <w:spacing w:line="360" w:lineRule="auto"/>
        <w:ind w:firstLine="720"/>
        <w:rPr>
          <w:rFonts w:ascii="Times New Roman" w:eastAsia="SimSun" w:hAnsi="Times New Roman" w:cs="Times New Roman"/>
          <w:sz w:val="24"/>
        </w:rPr>
      </w:pPr>
      <w:r>
        <w:rPr>
          <w:rFonts w:ascii="Times New Roman" w:eastAsia="SimSun" w:hAnsi="Times New Roman" w:cs="Times New Roman"/>
          <w:sz w:val="24"/>
        </w:rPr>
        <w:t xml:space="preserve">The computer modelling method is one of the effective measures that can help assess urban environments and decision makings of urban intervention strategies for the improvement of people’s health and well-being. It plays an important role in the resilience of cities. It has been widely conducted in many aspects including assessment of outdoor thermal comfort, urban heat islands, urban air quality, urban flooding, urban ventilation design, urban acoustic and flooding. It can assist policy-makers, urban designers, and city managers to work collaboratively to deliver sustainable urban planning and regeneration from the earliest stage. Chapter 5 introduces a robust and fast-running tool that can be used to simulate urban solar radiation, surface temperatures, and air temperature. It can be used in a variety of scenarios to assist in the assessment of urban planning/building design projects related to the outdoor thermal environment. The case study presented briefly demonstrates some of the functions that can be used in the planning and design phase. Chapter 6 presents the challenges of modelling complex physical phenomena in terms of the prediction of characteristics and evolution with adequate accuracy and reliability. Data assimilation techniques incorporate information from experiments and observations to reduce uncertainties in numerical prediction has been presented. The resolutions of modelling techniques on an urban scale have been demonstrated with case studies of simulations of urban air pollution, urban green-blue infrastructure and land surface thermal dynamics, and urban flooding forecasting. </w:t>
      </w:r>
    </w:p>
    <w:p w14:paraId="1812C7AE" w14:textId="2A00FE2C" w:rsidR="00B5059A" w:rsidRDefault="00000000" w:rsidP="009669B9">
      <w:pPr>
        <w:spacing w:line="360" w:lineRule="auto"/>
        <w:ind w:firstLine="720"/>
        <w:rPr>
          <w:rFonts w:ascii="Times New Roman" w:eastAsia="SimSun" w:hAnsi="Times New Roman" w:cs="Times New Roman"/>
          <w:sz w:val="24"/>
        </w:rPr>
      </w:pPr>
      <w:r>
        <w:rPr>
          <w:rFonts w:ascii="Times New Roman" w:eastAsia="SimSun" w:hAnsi="Times New Roman" w:cs="Times New Roman"/>
          <w:sz w:val="24"/>
        </w:rPr>
        <w:t xml:space="preserve">Inhabitants of high-rise and high-density cities are at greater risk of severe environmental hazards, such as air pollution. Typically, high-density cities have high pollutant emission rates, attributable to high traffic volume per unit area. Urban ventilation is one of the </w:t>
      </w:r>
      <w:r>
        <w:rPr>
          <w:rFonts w:ascii="Times New Roman" w:eastAsia="SimSun" w:hAnsi="Times New Roman" w:cs="Times New Roman"/>
          <w:sz w:val="24"/>
        </w:rPr>
        <w:lastRenderedPageBreak/>
        <w:t xml:space="preserve">practical measures through proper urban and building design that can mitigate urban heat and air pollution. Chapter 7 presents six design principles that can improve urban ventilation in high-density cities and therefore reduce air pollution exposure. By incorporating climate-sensitive design strategies, high-density cities can potentially reduce both indoor and outdoor exposure to air pollution, leading to improved sustainability and resilience. Chapter 8 presents the impact of the urban context in terms of air and thermal pollution on ventilation strategies. Three case studies of the performance evaluation of buildings in urban areas are presented. </w:t>
      </w:r>
    </w:p>
    <w:p w14:paraId="23830C72" w14:textId="77777777" w:rsidR="00B5059A" w:rsidRDefault="00000000" w:rsidP="009669B9">
      <w:pPr>
        <w:spacing w:line="360" w:lineRule="auto"/>
        <w:ind w:firstLine="720"/>
        <w:rPr>
          <w:rFonts w:ascii="Times New Roman" w:eastAsia="SimSun" w:hAnsi="Times New Roman" w:cs="Times New Roman"/>
          <w:sz w:val="24"/>
        </w:rPr>
      </w:pPr>
      <w:r>
        <w:rPr>
          <w:rFonts w:ascii="Times New Roman" w:eastAsia="SimSun" w:hAnsi="Times New Roman" w:cs="Times New Roman"/>
          <w:sz w:val="24"/>
        </w:rPr>
        <w:t xml:space="preserve">The acoustic quality of living and working environments can affect the health, well-being and quality of life of building occupants. Chapter 9 introduces the soundscape methodologies that provide a comprehensive characteristic of acoustic perception by people in a specific context, thus guiding the design of built environments to shape resilient cities, able to address the main global challenges posed by global warming. The consideration of soundscape aspects from the earliest stages of urban planning and building design would </w:t>
      </w:r>
      <w:proofErr w:type="spellStart"/>
      <w:r>
        <w:rPr>
          <w:rFonts w:ascii="Times New Roman" w:eastAsia="SimSun" w:hAnsi="Times New Roman" w:cs="Times New Roman"/>
          <w:sz w:val="24"/>
        </w:rPr>
        <w:t>favour</w:t>
      </w:r>
      <w:proofErr w:type="spellEnd"/>
      <w:r>
        <w:rPr>
          <w:rFonts w:ascii="Times New Roman" w:eastAsia="SimSun" w:hAnsi="Times New Roman" w:cs="Times New Roman"/>
          <w:sz w:val="24"/>
        </w:rPr>
        <w:t xml:space="preserve"> conditions that allow for the adoption of passive ventilation (and cooling) strategies for occupants’ health and well-being.</w:t>
      </w:r>
    </w:p>
    <w:p w14:paraId="758127A9" w14:textId="07C97F72" w:rsidR="00B5059A" w:rsidRDefault="00000000">
      <w:pPr>
        <w:spacing w:line="360" w:lineRule="auto"/>
        <w:ind w:firstLine="720"/>
        <w:rPr>
          <w:rFonts w:ascii="Times New Roman" w:eastAsia="SimSun" w:hAnsi="Times New Roman" w:cs="Times New Roman"/>
          <w:sz w:val="24"/>
        </w:rPr>
      </w:pPr>
      <w:r>
        <w:rPr>
          <w:rFonts w:ascii="Times New Roman" w:eastAsia="SimSun" w:hAnsi="Times New Roman" w:cs="Times New Roman"/>
          <w:sz w:val="24"/>
        </w:rPr>
        <w:t>Rapid urbanization has greatly affected global biodiversity. Human preferences for the plant species of urban greening have greatly facilitated the spread of non-native species, resulting in the homogenization of landscape plant communities across spatial scales. Chapter 10 explores the climatic suitability and sustainability of landscape plants for urban biodiversity. The application of biodiversity-friendliness spontaneous urban plants (SUPs) has been proven an effective way to urban diversity in 59 major cities in China.</w:t>
      </w:r>
    </w:p>
    <w:p w14:paraId="76DB6BB6" w14:textId="77777777" w:rsidR="00B5059A" w:rsidRDefault="00000000">
      <w:pPr>
        <w:spacing w:line="360" w:lineRule="auto"/>
        <w:rPr>
          <w:rFonts w:ascii="Times New Roman" w:eastAsia="SimSun" w:hAnsi="Times New Roman" w:cs="Times New Roman"/>
          <w:sz w:val="24"/>
        </w:rPr>
      </w:pPr>
      <w:r>
        <w:rPr>
          <w:rFonts w:ascii="Times New Roman" w:eastAsia="SimSun" w:hAnsi="Times New Roman" w:cs="Times New Roman"/>
          <w:sz w:val="24"/>
        </w:rPr>
        <w:t xml:space="preserve">Nature-based measures like green infrastructures have been regarded as a multifunctional approach to urban resilience and sustainability for capturing particulate matters and mitigating the impact of urban heat islands at the city scale, acting as nature-based solutions to abate the impact of natural hydro-meteorological hazards such as flooding and heatwaves, to indirectly foster biodiversity. Chapter 11 </w:t>
      </w:r>
      <w:proofErr w:type="spellStart"/>
      <w:r>
        <w:rPr>
          <w:rFonts w:ascii="Times New Roman" w:eastAsia="SimSun" w:hAnsi="Times New Roman" w:cs="Times New Roman"/>
          <w:sz w:val="24"/>
        </w:rPr>
        <w:t>summarises</w:t>
      </w:r>
      <w:proofErr w:type="spellEnd"/>
      <w:r>
        <w:rPr>
          <w:rFonts w:ascii="Times New Roman" w:eastAsia="SimSun" w:hAnsi="Times New Roman" w:cs="Times New Roman"/>
          <w:sz w:val="24"/>
        </w:rPr>
        <w:t xml:space="preserve"> the design principles and the role of green infrastructure (GI) in the abatement of air pollution, urban heat, and natural hazards. The GI method has been proven to contribute to improved health and well-being in terms of sustainable and resilient cities.</w:t>
      </w:r>
    </w:p>
    <w:p w14:paraId="5AC025EB" w14:textId="77777777" w:rsidR="00B5059A" w:rsidRDefault="00000000">
      <w:pPr>
        <w:spacing w:line="360" w:lineRule="auto"/>
        <w:ind w:firstLine="720"/>
        <w:rPr>
          <w:rFonts w:ascii="Times New Roman" w:eastAsia="SimSun" w:hAnsi="Times New Roman" w:cs="Times New Roman"/>
          <w:sz w:val="24"/>
        </w:rPr>
      </w:pPr>
      <w:r>
        <w:rPr>
          <w:rFonts w:ascii="Times New Roman" w:eastAsia="SimSun" w:hAnsi="Times New Roman" w:cs="Times New Roman"/>
          <w:sz w:val="24"/>
        </w:rPr>
        <w:t xml:space="preserve">Floods threaten cities in various forms whose magnitude and frequency are likely exacerbated by climate change and increasing </w:t>
      </w:r>
      <w:proofErr w:type="spellStart"/>
      <w:r>
        <w:rPr>
          <w:rFonts w:ascii="Times New Roman" w:eastAsia="SimSun" w:hAnsi="Times New Roman" w:cs="Times New Roman"/>
          <w:sz w:val="24"/>
        </w:rPr>
        <w:t>urbanisation</w:t>
      </w:r>
      <w:proofErr w:type="spellEnd"/>
      <w:r>
        <w:rPr>
          <w:rFonts w:ascii="Times New Roman" w:eastAsia="SimSun" w:hAnsi="Times New Roman" w:cs="Times New Roman"/>
          <w:sz w:val="24"/>
        </w:rPr>
        <w:t xml:space="preserve">. Chapter 12 explains their causes, consequences, observation methods, hazard modelling techniques, and mitigation infrastructures relevant to urban flood resilience. It introduces hybrid infrastructure (grey, green and blue) systems for urban resilience to flooding. It is addressed that flooding risk has to be </w:t>
      </w:r>
      <w:r>
        <w:rPr>
          <w:rFonts w:ascii="Times New Roman" w:eastAsia="SimSun" w:hAnsi="Times New Roman" w:cs="Times New Roman"/>
          <w:sz w:val="24"/>
        </w:rPr>
        <w:lastRenderedPageBreak/>
        <w:t xml:space="preserve">managed through resilient and sustainable planning, especially in fast-developing areas. </w:t>
      </w:r>
    </w:p>
    <w:p w14:paraId="187B8B81" w14:textId="4F92598A" w:rsidR="00B5059A" w:rsidRDefault="00000000" w:rsidP="009669B9">
      <w:pPr>
        <w:spacing w:line="360" w:lineRule="auto"/>
        <w:ind w:firstLine="720"/>
        <w:rPr>
          <w:rFonts w:ascii="Times New Roman" w:eastAsia="SimSun" w:hAnsi="Times New Roman" w:cs="Times New Roman"/>
          <w:sz w:val="24"/>
        </w:rPr>
      </w:pPr>
      <w:r>
        <w:rPr>
          <w:rFonts w:ascii="Times New Roman" w:eastAsia="SimSun" w:hAnsi="Times New Roman" w:cs="Times New Roman"/>
          <w:sz w:val="24"/>
        </w:rPr>
        <w:t xml:space="preserve">The global success of mitigating climate change is dependent on transitions to net zero carbon energy systems. The increasing urbanization of global populations inevitably increases the energy demand for working, living and improving living environments, transportation, entertainment, and so on. Chapter 13 presents the relationship of different causal pathways (top-down and bottom-up) to demand reduction in cities. It presents a matrix of the five demand reduction sectors and seven demand reduction trends as of the Low Energy Demand Scenarios (CREDS) for the potentials of energy demand reduction in the context of urban sustainability. </w:t>
      </w:r>
    </w:p>
    <w:p w14:paraId="56A39340" w14:textId="3C81DF4C" w:rsidR="00B5059A" w:rsidRDefault="00000000">
      <w:pPr>
        <w:spacing w:line="360" w:lineRule="auto"/>
        <w:ind w:firstLine="720"/>
        <w:rPr>
          <w:rFonts w:ascii="Times New Roman" w:eastAsia="SimSun" w:hAnsi="Times New Roman" w:cs="Times New Roman"/>
          <w:sz w:val="24"/>
        </w:rPr>
      </w:pPr>
      <w:r>
        <w:rPr>
          <w:rFonts w:ascii="Times New Roman" w:eastAsia="SimSun" w:hAnsi="Times New Roman" w:cs="Times New Roman"/>
          <w:sz w:val="24"/>
        </w:rPr>
        <w:t xml:space="preserve">Mitigation of carbon emissions needs to implement a </w:t>
      </w:r>
      <w:proofErr w:type="gramStart"/>
      <w:r>
        <w:rPr>
          <w:rFonts w:ascii="Times New Roman" w:eastAsia="SimSun" w:hAnsi="Times New Roman" w:cs="Times New Roman"/>
          <w:sz w:val="24"/>
        </w:rPr>
        <w:t>zero energy</w:t>
      </w:r>
      <w:proofErr w:type="gramEnd"/>
      <w:r>
        <w:rPr>
          <w:rFonts w:ascii="Times New Roman" w:eastAsia="SimSun" w:hAnsi="Times New Roman" w:cs="Times New Roman"/>
          <w:sz w:val="24"/>
        </w:rPr>
        <w:t xml:space="preserve"> building policy. Clean and renewable energy is the most important issue for a city’s sustainability and resilience. Chapter 14 introduces the applications of renewable energy including solar water heating, space heating and cooling systems, photovoltaics, and hybrid photovoltaic and solar thermal (PV/T) systems which provide both thermal and electrical energy; and the geothermal energy systems which employ ground heat exchangers in combination with heat pumps. Renewable energy systems are used not only in buildings directly but nowadays are also used in district heating and cooling networks in the urban/community context for a sustainable future. </w:t>
      </w:r>
    </w:p>
    <w:p w14:paraId="5C54F1B7" w14:textId="5D60411F" w:rsidR="00B5059A" w:rsidRDefault="00000000">
      <w:pPr>
        <w:spacing w:line="360" w:lineRule="auto"/>
        <w:ind w:firstLine="720"/>
        <w:rPr>
          <w:rFonts w:ascii="Times New Roman" w:eastAsia="SimSun" w:hAnsi="Times New Roman" w:cs="Times New Roman"/>
          <w:sz w:val="24"/>
        </w:rPr>
      </w:pPr>
      <w:r>
        <w:rPr>
          <w:rFonts w:ascii="Times New Roman" w:eastAsia="SimSun" w:hAnsi="Times New Roman" w:cs="Times New Roman"/>
          <w:sz w:val="24"/>
        </w:rPr>
        <w:t xml:space="preserve">The evolution of policies by setting frameworks plays a pivotal role in the delivery of sustainable and resilient cities. Chapter 15 presents examples of implementations of policies and sustainable development guides as well as tools in cities toward a more resilient, sustainable, and </w:t>
      </w:r>
      <w:proofErr w:type="spellStart"/>
      <w:r>
        <w:rPr>
          <w:rFonts w:ascii="Times New Roman" w:eastAsia="SimSun" w:hAnsi="Times New Roman" w:cs="Times New Roman"/>
          <w:sz w:val="24"/>
        </w:rPr>
        <w:t>liveable</w:t>
      </w:r>
      <w:proofErr w:type="spellEnd"/>
      <w:r>
        <w:rPr>
          <w:rFonts w:ascii="Times New Roman" w:eastAsia="SimSun" w:hAnsi="Times New Roman" w:cs="Times New Roman"/>
          <w:sz w:val="24"/>
        </w:rPr>
        <w:t xml:space="preserve"> future. It includes exemplary cases from London, Shanghai, Accra, Singapore, Amsterdam and Melbourne. These include urban forests, urban agriculture, water storage and reuse, flood management using nature-based solutions, walking, cycling, and electric public transport for mobility, and using waste as a resource.</w:t>
      </w:r>
    </w:p>
    <w:p w14:paraId="41C9CFCC" w14:textId="50AF2C49" w:rsidR="00B5059A" w:rsidRDefault="00000000">
      <w:pPr>
        <w:spacing w:line="360" w:lineRule="auto"/>
        <w:rPr>
          <w:rFonts w:ascii="Times New Roman" w:eastAsia="SimSun" w:hAnsi="Times New Roman" w:cs="Times New Roman"/>
          <w:sz w:val="24"/>
        </w:rPr>
      </w:pPr>
      <w:r>
        <w:rPr>
          <w:rFonts w:ascii="Times New Roman" w:eastAsia="SimSun" w:hAnsi="Times New Roman" w:cs="Times New Roman"/>
          <w:sz w:val="24"/>
        </w:rPr>
        <w:t xml:space="preserve">The case study of the implementation of energy policy for zero-carbon cities (communities) in Japan has been introduced in Chapter 16. The proposals made by the Architectural Institute of Japan and the Science Council of Japan regarding zero-carbon cities and communities are explained and discussed. An overview of the decarbonization efforts in 26 regions selected as decarbonization leading areas and specific examples of four regions is provided. It further demonstrates the policy's role in delivering sustainable cities. </w:t>
      </w:r>
    </w:p>
    <w:p w14:paraId="7635A889" w14:textId="77777777" w:rsidR="00B5059A" w:rsidRDefault="00000000">
      <w:pPr>
        <w:spacing w:line="360" w:lineRule="auto"/>
        <w:ind w:firstLine="720"/>
        <w:rPr>
          <w:rFonts w:ascii="Times New Roman" w:eastAsia="SimSun" w:hAnsi="Times New Roman" w:cs="Times New Roman"/>
          <w:sz w:val="24"/>
        </w:rPr>
      </w:pPr>
      <w:r>
        <w:rPr>
          <w:rFonts w:ascii="Times New Roman" w:eastAsia="SimSun" w:hAnsi="Times New Roman" w:cs="Times New Roman"/>
          <w:sz w:val="24"/>
        </w:rPr>
        <w:t xml:space="preserve">The scarcity of freshwater across the world has become one of the major crises exacerbated by a growing population, changing consumption patterns, and the rise in irrigated agriculture. Chapter 17 presents the developing country, Indian case studies of household end-use water demand, and the innovative decentralized water system, which combined rainwater harvesting (RWH) with wastewater. Guidance of five points for urban water resilience has been </w:t>
      </w:r>
      <w:r>
        <w:rPr>
          <w:rFonts w:ascii="Times New Roman" w:eastAsia="SimSun" w:hAnsi="Times New Roman" w:cs="Times New Roman"/>
          <w:sz w:val="24"/>
        </w:rPr>
        <w:lastRenderedPageBreak/>
        <w:t xml:space="preserve">proposed to increase city resilience in the context of end-user and management through scenario analysis. </w:t>
      </w:r>
    </w:p>
    <w:p w14:paraId="038F9166" w14:textId="77777777" w:rsidR="00B5059A" w:rsidRDefault="00000000">
      <w:pPr>
        <w:spacing w:line="360" w:lineRule="auto"/>
        <w:ind w:firstLine="720"/>
        <w:rPr>
          <w:rFonts w:ascii="Times New Roman" w:eastAsia="SimSun" w:hAnsi="Times New Roman" w:cs="Times New Roman"/>
          <w:sz w:val="24"/>
        </w:rPr>
      </w:pPr>
      <w:r>
        <w:rPr>
          <w:rFonts w:ascii="Times New Roman" w:eastAsia="SimSun" w:hAnsi="Times New Roman" w:cs="Times New Roman"/>
          <w:sz w:val="24"/>
        </w:rPr>
        <w:t xml:space="preserve">A long-term integrated approach is crucial in planning and implementing green and </w:t>
      </w:r>
      <w:proofErr w:type="spellStart"/>
      <w:r>
        <w:rPr>
          <w:rFonts w:ascii="Times New Roman" w:eastAsia="SimSun" w:hAnsi="Times New Roman" w:cs="Times New Roman"/>
          <w:sz w:val="24"/>
        </w:rPr>
        <w:t>liveable</w:t>
      </w:r>
      <w:proofErr w:type="spellEnd"/>
      <w:r>
        <w:rPr>
          <w:rFonts w:ascii="Times New Roman" w:eastAsia="SimSun" w:hAnsi="Times New Roman" w:cs="Times New Roman"/>
          <w:sz w:val="24"/>
        </w:rPr>
        <w:t xml:space="preserve"> cities. On the one hand, this requires cross-departmental and multidisciplinary collaboration, as well as wider citizen engagement, on the other hand, it requires a long-term strategy that considers the whole lifecycle of creating sustainable and resilient places starting from visioning, planning, implementation, enforcement, management, and maintenance, as well as monitoring and feedback. Chapter 18 introduces two UK case studies to discuss how the long-term integrated approach can be </w:t>
      </w:r>
      <w:proofErr w:type="spellStart"/>
      <w:r>
        <w:rPr>
          <w:rFonts w:ascii="Times New Roman" w:eastAsia="SimSun" w:hAnsi="Times New Roman" w:cs="Times New Roman"/>
          <w:sz w:val="24"/>
        </w:rPr>
        <w:t>utilised</w:t>
      </w:r>
      <w:proofErr w:type="spellEnd"/>
      <w:r>
        <w:rPr>
          <w:rFonts w:ascii="Times New Roman" w:eastAsia="SimSun" w:hAnsi="Times New Roman" w:cs="Times New Roman"/>
          <w:sz w:val="24"/>
        </w:rPr>
        <w:t>: the first case study of Cornwall Council is focused on its inclusive and integrated policymaking process; the second case study of Milton Keynes is focused on the long-term strategy of planning and implementing its city-wide green infrastructure.</w:t>
      </w:r>
    </w:p>
    <w:p w14:paraId="35C9B2D3" w14:textId="77777777" w:rsidR="00B5059A" w:rsidRDefault="00000000">
      <w:pPr>
        <w:spacing w:line="360" w:lineRule="auto"/>
        <w:ind w:firstLine="720"/>
        <w:rPr>
          <w:rFonts w:ascii="Times New Roman" w:eastAsia="SimSun" w:hAnsi="Times New Roman" w:cs="Times New Roman"/>
          <w:sz w:val="24"/>
        </w:rPr>
      </w:pPr>
      <w:r>
        <w:rPr>
          <w:rFonts w:ascii="Times New Roman" w:eastAsia="SimSun" w:hAnsi="Times New Roman" w:cs="Times New Roman"/>
          <w:sz w:val="24"/>
        </w:rPr>
        <w:t>Chapter 19 looks beyond well-</w:t>
      </w:r>
      <w:proofErr w:type="spellStart"/>
      <w:r>
        <w:rPr>
          <w:rFonts w:ascii="Times New Roman" w:eastAsia="SimSun" w:hAnsi="Times New Roman" w:cs="Times New Roman"/>
          <w:sz w:val="24"/>
        </w:rPr>
        <w:t>recognised</w:t>
      </w:r>
      <w:proofErr w:type="spellEnd"/>
      <w:r>
        <w:rPr>
          <w:rFonts w:ascii="Times New Roman" w:eastAsia="SimSun" w:hAnsi="Times New Roman" w:cs="Times New Roman"/>
          <w:sz w:val="24"/>
        </w:rPr>
        <w:t xml:space="preserve"> factors like thermal quality, addressing lifestyle and balance, and social influences on ‘well-being in use’, including location, spatial scale, biophilia, ‘active by design’, community, and social memory. This has been demonstrated by drawing on the author’s rich repertoire of research and practical experience in people’s use of buildings and urban spaces. It implicitly proposes a breadth of professional expertise to shape healthy environments.</w:t>
      </w:r>
    </w:p>
    <w:p w14:paraId="15DE080B" w14:textId="77777777" w:rsidR="00B5059A" w:rsidRDefault="00000000">
      <w:pPr>
        <w:spacing w:line="360" w:lineRule="auto"/>
        <w:ind w:firstLine="720"/>
        <w:rPr>
          <w:rFonts w:ascii="Times New Roman" w:eastAsia="SimSun" w:hAnsi="Times New Roman" w:cs="Times New Roman"/>
          <w:sz w:val="24"/>
        </w:rPr>
      </w:pPr>
      <w:r>
        <w:rPr>
          <w:rFonts w:ascii="Times New Roman" w:eastAsia="SimSun" w:hAnsi="Times New Roman" w:cs="Times New Roman"/>
          <w:sz w:val="24"/>
        </w:rPr>
        <w:t>Chapter 20 addresses the importance of city governance in shaping the future of a city. It introduces the overall concept of urban future thinking. The Reading case study in the UK demonstrates that the cities with the most robust and effective ‘hard’ and ‘soft’ climate change, governance structures will be the cities that continue to attract investment. The key points are addressed that can be learned by other cities and towns in achieving sustainable and resilient cities, towns, and communities. They include Integrated approach, Role of stakeholders, Power relations, R &amp; D opportunities, COVID and resilience, and net Zero. Ultimately people, businesses, local government, academia, and other key city stakeholders must all be part of helping shape that future.</w:t>
      </w:r>
    </w:p>
    <w:p w14:paraId="01E75B1A" w14:textId="77777777" w:rsidR="00B5059A" w:rsidRDefault="00B5059A">
      <w:pPr>
        <w:spacing w:line="360" w:lineRule="auto"/>
        <w:ind w:firstLine="720"/>
        <w:rPr>
          <w:rFonts w:ascii="Times New Roman" w:eastAsia="SimSun" w:hAnsi="Times New Roman" w:cs="Times New Roman"/>
          <w:sz w:val="24"/>
        </w:rPr>
      </w:pPr>
    </w:p>
    <w:p w14:paraId="239EA467" w14:textId="77777777" w:rsidR="00B5059A" w:rsidRDefault="00000000">
      <w:pPr>
        <w:spacing w:line="360" w:lineRule="auto"/>
        <w:rPr>
          <w:rFonts w:ascii="Times New Roman" w:eastAsia="SimSun" w:hAnsi="Times New Roman" w:cs="Times New Roman"/>
          <w:sz w:val="24"/>
        </w:rPr>
      </w:pPr>
      <w:r>
        <w:rPr>
          <w:rFonts w:ascii="Times New Roman" w:eastAsia="SimSun" w:hAnsi="Times New Roman" w:cs="Times New Roman"/>
          <w:sz w:val="24"/>
        </w:rPr>
        <w:br w:type="page"/>
      </w:r>
    </w:p>
    <w:p w14:paraId="1815C07D" w14:textId="30D8B7DA" w:rsidR="00B5059A" w:rsidRDefault="00000000">
      <w:pPr>
        <w:spacing w:line="360" w:lineRule="auto"/>
        <w:rPr>
          <w:rFonts w:ascii="Times New Roman" w:eastAsia="SimSun" w:hAnsi="Times New Roman" w:cs="Times New Roman"/>
          <w:b/>
          <w:bCs/>
          <w:sz w:val="24"/>
        </w:rPr>
      </w:pPr>
      <w:r>
        <w:rPr>
          <w:rFonts w:ascii="Times New Roman" w:eastAsia="SimSun" w:hAnsi="Times New Roman" w:cs="Times New Roman"/>
          <w:b/>
          <w:bCs/>
          <w:sz w:val="24"/>
        </w:rPr>
        <w:lastRenderedPageBreak/>
        <w:t>Reference</w:t>
      </w:r>
      <w:r w:rsidR="0032037C">
        <w:rPr>
          <w:rFonts w:ascii="Times New Roman" w:eastAsia="SimSun" w:hAnsi="Times New Roman" w:cs="Times New Roman"/>
          <w:b/>
          <w:bCs/>
          <w:sz w:val="24"/>
        </w:rPr>
        <w:t>s</w:t>
      </w:r>
    </w:p>
    <w:p w14:paraId="36702D51" w14:textId="6B42C72E" w:rsidR="00B5059A" w:rsidRDefault="00000000" w:rsidP="00F45F33">
      <w:pPr>
        <w:spacing w:line="360" w:lineRule="auto"/>
        <w:ind w:left="697" w:hanging="697"/>
        <w:rPr>
          <w:rFonts w:ascii="Times New Roman" w:eastAsia="SimSun" w:hAnsi="Times New Roman" w:cs="Times New Roman"/>
          <w:sz w:val="24"/>
        </w:rPr>
      </w:pPr>
      <w:bookmarkStart w:id="2" w:name="_ENREF_1"/>
      <w:r>
        <w:rPr>
          <w:rFonts w:ascii="Times New Roman" w:eastAsia="SimSun" w:hAnsi="Times New Roman" w:cs="Times New Roman"/>
          <w:sz w:val="24"/>
        </w:rPr>
        <w:t>CRED, UNISDR (2018) Economic losses, poverty &amp; disasters: 1998-2017. Centre for Research on the Epidemiology of Disasters (CRED</w:t>
      </w:r>
      <w:r w:rsidR="004F34A4">
        <w:rPr>
          <w:rFonts w:ascii="Times New Roman" w:eastAsia="SimSun" w:hAnsi="Times New Roman" w:cs="Times New Roman"/>
          <w:sz w:val="24"/>
        </w:rPr>
        <w:t xml:space="preserve">). </w:t>
      </w:r>
      <w:r>
        <w:rPr>
          <w:rFonts w:ascii="Times New Roman" w:eastAsia="SimSun" w:hAnsi="Times New Roman" w:cs="Times New Roman"/>
          <w:sz w:val="24"/>
        </w:rPr>
        <w:t xml:space="preserve">United Nations Office for Disaster Risk Reduction (UNISDR). </w:t>
      </w:r>
      <w:hyperlink r:id="rId10" w:history="1">
        <w:r w:rsidR="00B5059A">
          <w:rPr>
            <w:rFonts w:ascii="Times New Roman" w:eastAsia="SimSun" w:hAnsi="Times New Roman" w:cs="Times New Roman"/>
            <w:sz w:val="24"/>
          </w:rPr>
          <w:t>https://www.undrr.org/publication/economic-losses-poverty-disasters-1998-2017</w:t>
        </w:r>
        <w:bookmarkEnd w:id="2"/>
      </w:hyperlink>
      <w:r w:rsidR="004F34A4">
        <w:rPr>
          <w:rFonts w:ascii="Times New Roman" w:eastAsia="SimSun" w:hAnsi="Times New Roman" w:cs="Times New Roman"/>
          <w:sz w:val="24"/>
        </w:rPr>
        <w:t>.</w:t>
      </w:r>
    </w:p>
    <w:p w14:paraId="088744A9" w14:textId="34545F88" w:rsidR="00B5059A" w:rsidRDefault="00000000" w:rsidP="00F45F33">
      <w:pPr>
        <w:spacing w:line="360" w:lineRule="auto"/>
        <w:ind w:left="697" w:hanging="697"/>
        <w:rPr>
          <w:rFonts w:ascii="Times New Roman" w:eastAsia="SimSun" w:hAnsi="Times New Roman" w:cs="Times New Roman"/>
          <w:sz w:val="24"/>
        </w:rPr>
      </w:pPr>
      <w:r>
        <w:rPr>
          <w:rFonts w:ascii="Times New Roman" w:eastAsia="SimSun" w:hAnsi="Times New Roman" w:cs="Times New Roman"/>
          <w:sz w:val="24"/>
        </w:rPr>
        <w:t>Cohen J (2015) Estimates and 25-year trends of the global burden of disease attributable to ambient air pollution: an analysis of data from the Global Burden of Diseases Study 2015</w:t>
      </w:r>
      <w:r w:rsidR="004F34A4">
        <w:rPr>
          <w:rFonts w:ascii="Times New Roman" w:eastAsia="SimSun" w:hAnsi="Times New Roman" w:cs="Times New Roman"/>
          <w:sz w:val="24"/>
        </w:rPr>
        <w:t xml:space="preserve">. </w:t>
      </w:r>
      <w:r>
        <w:rPr>
          <w:rFonts w:ascii="Times New Roman" w:eastAsia="SimSun" w:hAnsi="Times New Roman" w:cs="Times New Roman"/>
          <w:sz w:val="24"/>
        </w:rPr>
        <w:t>Lancet, 389</w:t>
      </w:r>
      <w:r w:rsidR="004F34A4">
        <w:rPr>
          <w:rFonts w:ascii="Times New Roman" w:eastAsia="SimSun" w:hAnsi="Times New Roman" w:cs="Times New Roman"/>
          <w:sz w:val="24"/>
        </w:rPr>
        <w:t>(10082),</w:t>
      </w:r>
      <w:r>
        <w:rPr>
          <w:rFonts w:ascii="Times New Roman" w:eastAsia="SimSun" w:hAnsi="Times New Roman" w:cs="Times New Roman"/>
          <w:sz w:val="24"/>
        </w:rPr>
        <w:t xml:space="preserve"> 1907–1918</w:t>
      </w:r>
      <w:r w:rsidR="004F34A4">
        <w:rPr>
          <w:rFonts w:ascii="Times New Roman" w:eastAsia="SimSun" w:hAnsi="Times New Roman" w:cs="Times New Roman"/>
          <w:sz w:val="24"/>
        </w:rPr>
        <w:t>.</w:t>
      </w:r>
      <w:r w:rsidR="004F34A4" w:rsidRPr="004F34A4">
        <w:t xml:space="preserve"> </w:t>
      </w:r>
      <w:r w:rsidR="004F34A4" w:rsidRPr="004F34A4">
        <w:rPr>
          <w:rFonts w:ascii="Times New Roman" w:eastAsia="SimSun" w:hAnsi="Times New Roman" w:cs="Times New Roman"/>
          <w:sz w:val="24"/>
        </w:rPr>
        <w:t>https://doi.org/10.1016/S0140-6736(17)30505-6</w:t>
      </w:r>
      <w:r>
        <w:rPr>
          <w:rFonts w:ascii="Times New Roman" w:eastAsia="SimSun" w:hAnsi="Times New Roman" w:cs="Times New Roman"/>
          <w:sz w:val="24"/>
        </w:rPr>
        <w:t>.</w:t>
      </w:r>
    </w:p>
    <w:p w14:paraId="4861BEC4" w14:textId="236C3227" w:rsidR="00B5059A" w:rsidRDefault="00000000" w:rsidP="00F45F33">
      <w:pPr>
        <w:spacing w:line="360" w:lineRule="auto"/>
        <w:ind w:left="697" w:hanging="697"/>
        <w:rPr>
          <w:rFonts w:ascii="Times New Roman" w:eastAsia="SimSun" w:hAnsi="Times New Roman" w:cs="Times New Roman"/>
          <w:sz w:val="24"/>
        </w:rPr>
      </w:pPr>
      <w:r>
        <w:rPr>
          <w:rFonts w:ascii="Times New Roman" w:eastAsia="SimSun" w:hAnsi="Times New Roman" w:cs="Times New Roman"/>
          <w:sz w:val="24"/>
        </w:rPr>
        <w:t>David M and Shelly C (2021) Estimating the global costs of hearing loss</w:t>
      </w:r>
      <w:r w:rsidR="004F34A4">
        <w:rPr>
          <w:rFonts w:ascii="Times New Roman" w:eastAsia="SimSun" w:hAnsi="Times New Roman" w:cs="Times New Roman"/>
          <w:sz w:val="24"/>
        </w:rPr>
        <w:t>.</w:t>
      </w:r>
      <w:r>
        <w:rPr>
          <w:rFonts w:ascii="Times New Roman" w:eastAsia="SimSun" w:hAnsi="Times New Roman" w:cs="Times New Roman"/>
          <w:sz w:val="24"/>
        </w:rPr>
        <w:t xml:space="preserve"> International Journal of Audiology, 60</w:t>
      </w:r>
      <w:r w:rsidR="004F34A4">
        <w:rPr>
          <w:rFonts w:ascii="Times New Roman" w:eastAsia="SimSun" w:hAnsi="Times New Roman" w:cs="Times New Roman"/>
          <w:sz w:val="24"/>
        </w:rPr>
        <w:t>(</w:t>
      </w:r>
      <w:r>
        <w:rPr>
          <w:rFonts w:ascii="Times New Roman" w:eastAsia="SimSun" w:hAnsi="Times New Roman" w:cs="Times New Roman"/>
          <w:sz w:val="24"/>
        </w:rPr>
        <w:t>3</w:t>
      </w:r>
      <w:r w:rsidR="004F34A4">
        <w:rPr>
          <w:rFonts w:ascii="Times New Roman" w:eastAsia="SimSun" w:hAnsi="Times New Roman" w:cs="Times New Roman"/>
          <w:sz w:val="24"/>
        </w:rPr>
        <w:t>)</w:t>
      </w:r>
      <w:r>
        <w:rPr>
          <w:rFonts w:ascii="Times New Roman" w:eastAsia="SimSun" w:hAnsi="Times New Roman" w:cs="Times New Roman"/>
          <w:sz w:val="24"/>
        </w:rPr>
        <w:t>, 162-170</w:t>
      </w:r>
      <w:r w:rsidR="004F34A4">
        <w:rPr>
          <w:rFonts w:ascii="Times New Roman" w:eastAsia="SimSun" w:hAnsi="Times New Roman" w:cs="Times New Roman"/>
          <w:sz w:val="24"/>
        </w:rPr>
        <w:t xml:space="preserve">. </w:t>
      </w:r>
      <w:r w:rsidR="004F34A4" w:rsidRPr="004F34A4">
        <w:rPr>
          <w:rFonts w:ascii="Times New Roman" w:eastAsia="SimSun" w:hAnsi="Times New Roman" w:cs="Times New Roman"/>
          <w:sz w:val="24"/>
        </w:rPr>
        <w:t>https://doi.org/10.1080/14992027.2021.1883197</w:t>
      </w:r>
      <w:r>
        <w:rPr>
          <w:rFonts w:ascii="Times New Roman" w:eastAsia="SimSun" w:hAnsi="Times New Roman" w:cs="Times New Roman"/>
          <w:sz w:val="24"/>
        </w:rPr>
        <w:t>.</w:t>
      </w:r>
    </w:p>
    <w:p w14:paraId="7F356B46" w14:textId="2E2ACCDF" w:rsidR="00B5059A" w:rsidRDefault="004F34A4" w:rsidP="00F45F33">
      <w:pPr>
        <w:spacing w:line="360" w:lineRule="auto"/>
        <w:ind w:left="697" w:hanging="697"/>
        <w:rPr>
          <w:rFonts w:ascii="Times New Roman" w:eastAsia="SimSun" w:hAnsi="Times New Roman" w:cs="Times New Roman"/>
          <w:sz w:val="24"/>
        </w:rPr>
      </w:pPr>
      <w:r>
        <w:rPr>
          <w:rFonts w:ascii="Times New Roman" w:eastAsia="SimSun" w:hAnsi="Times New Roman" w:cs="Times New Roman"/>
          <w:sz w:val="24"/>
        </w:rPr>
        <w:t xml:space="preserve">EEA (European Environment Agency) (2020) Environmental noise in Europe — 2020. Luxembourg: Publications Office of the European Union. </w:t>
      </w:r>
      <w:hyperlink r:id="rId11" w:history="1">
        <w:r>
          <w:rPr>
            <w:rFonts w:ascii="Times New Roman" w:eastAsia="SimSun" w:hAnsi="Times New Roman" w:cs="Times New Roman"/>
            <w:sz w:val="24"/>
          </w:rPr>
          <w:t>https://doi.org/10.2800/686249</w:t>
        </w:r>
      </w:hyperlink>
      <w:r>
        <w:rPr>
          <w:rFonts w:ascii="Times New Roman" w:eastAsia="SimSun" w:hAnsi="Times New Roman" w:cs="Times New Roman"/>
          <w:sz w:val="24"/>
        </w:rPr>
        <w:t>.</w:t>
      </w:r>
    </w:p>
    <w:p w14:paraId="165956F2" w14:textId="0E3112AE" w:rsidR="00B5059A" w:rsidRDefault="00000000" w:rsidP="00F45F33">
      <w:pPr>
        <w:spacing w:line="360" w:lineRule="auto"/>
        <w:ind w:left="697" w:hanging="697"/>
        <w:rPr>
          <w:rFonts w:ascii="Times New Roman" w:eastAsia="SimSun" w:hAnsi="Times New Roman" w:cs="Times New Roman"/>
          <w:sz w:val="24"/>
        </w:rPr>
      </w:pPr>
      <w:r>
        <w:rPr>
          <w:rFonts w:ascii="Times New Roman" w:eastAsia="SimSun" w:hAnsi="Times New Roman" w:cs="Times New Roman"/>
          <w:sz w:val="24"/>
        </w:rPr>
        <w:t>Francis C, Barber J (2013) A framework for understanding noise impacts on wildlife: an urgent conservation priority</w:t>
      </w:r>
      <w:r w:rsidR="004F34A4">
        <w:rPr>
          <w:rFonts w:ascii="Times New Roman" w:eastAsia="SimSun" w:hAnsi="Times New Roman" w:cs="Times New Roman"/>
          <w:sz w:val="24"/>
        </w:rPr>
        <w:t xml:space="preserve">. </w:t>
      </w:r>
      <w:r>
        <w:rPr>
          <w:rFonts w:ascii="Times New Roman" w:eastAsia="SimSun" w:hAnsi="Times New Roman" w:cs="Times New Roman"/>
          <w:sz w:val="24"/>
        </w:rPr>
        <w:t>Frontiers in Ecology and the Environment 11(6</w:t>
      </w:r>
      <w:r w:rsidR="004F34A4">
        <w:rPr>
          <w:rFonts w:ascii="Times New Roman" w:eastAsia="SimSun" w:hAnsi="Times New Roman" w:cs="Times New Roman"/>
          <w:sz w:val="24"/>
        </w:rPr>
        <w:t xml:space="preserve">), </w:t>
      </w:r>
      <w:r w:rsidR="004F34A4" w:rsidRPr="004F34A4">
        <w:rPr>
          <w:rFonts w:ascii="Times New Roman" w:eastAsia="SimSun" w:hAnsi="Times New Roman" w:cs="Times New Roman"/>
          <w:sz w:val="24"/>
        </w:rPr>
        <w:t>305-313</w:t>
      </w:r>
      <w:r w:rsidR="004F34A4">
        <w:rPr>
          <w:rFonts w:ascii="Times New Roman" w:eastAsia="SimSun" w:hAnsi="Times New Roman" w:cs="Times New Roman"/>
          <w:sz w:val="24"/>
        </w:rPr>
        <w:t>.</w:t>
      </w:r>
      <w:r w:rsidR="004F34A4" w:rsidRPr="004F34A4">
        <w:rPr>
          <w:rFonts w:ascii="Times New Roman" w:eastAsia="SimSun" w:hAnsi="Times New Roman" w:cs="Times New Roman"/>
          <w:sz w:val="24"/>
        </w:rPr>
        <w:t xml:space="preserve"> </w:t>
      </w:r>
      <w:hyperlink r:id="rId12" w:history="1">
        <w:r w:rsidR="00B5059A">
          <w:rPr>
            <w:rFonts w:ascii="Times New Roman" w:eastAsia="SimSun" w:hAnsi="Times New Roman" w:cs="Times New Roman"/>
            <w:sz w:val="24"/>
          </w:rPr>
          <w:t>https://doi.org/10.1890/120183</w:t>
        </w:r>
      </w:hyperlink>
      <w:r w:rsidR="004F34A4">
        <w:rPr>
          <w:rFonts w:ascii="Times New Roman" w:eastAsia="SimSun" w:hAnsi="Times New Roman" w:cs="Times New Roman"/>
          <w:sz w:val="24"/>
        </w:rPr>
        <w:t>.</w:t>
      </w:r>
    </w:p>
    <w:p w14:paraId="7C695096" w14:textId="3856CD7E" w:rsidR="00B5059A" w:rsidRDefault="00000000" w:rsidP="00F45F33">
      <w:pPr>
        <w:spacing w:line="360" w:lineRule="auto"/>
        <w:ind w:left="697" w:hanging="697"/>
        <w:rPr>
          <w:rFonts w:ascii="Times New Roman" w:eastAsia="SimSun" w:hAnsi="Times New Roman" w:cs="Times New Roman"/>
          <w:sz w:val="24"/>
        </w:rPr>
      </w:pPr>
      <w:r>
        <w:rPr>
          <w:rFonts w:ascii="Times New Roman" w:eastAsia="SimSun" w:hAnsi="Times New Roman" w:cs="Times New Roman"/>
          <w:sz w:val="24"/>
        </w:rPr>
        <w:t>Feng S, Gao D, Liao F, Zhou F, Wang X (2016) The health effects of ambient PM2.5 and potential mechanisms</w:t>
      </w:r>
      <w:r w:rsidR="004F34A4">
        <w:rPr>
          <w:rFonts w:ascii="Times New Roman" w:eastAsia="SimSun" w:hAnsi="Times New Roman" w:cs="Times New Roman"/>
          <w:sz w:val="24"/>
        </w:rPr>
        <w:t>.</w:t>
      </w:r>
      <w:r>
        <w:rPr>
          <w:rFonts w:ascii="Times New Roman" w:eastAsia="SimSun" w:hAnsi="Times New Roman" w:cs="Times New Roman"/>
          <w:sz w:val="24"/>
        </w:rPr>
        <w:t xml:space="preserve"> </w:t>
      </w:r>
      <w:r w:rsidR="004F34A4" w:rsidRPr="004F34A4">
        <w:rPr>
          <w:rFonts w:ascii="Times New Roman" w:eastAsia="SimSun" w:hAnsi="Times New Roman" w:cs="Times New Roman"/>
          <w:sz w:val="24"/>
        </w:rPr>
        <w:t>Ecotoxicology and environmental safety</w:t>
      </w:r>
      <w:r w:rsidR="004F34A4">
        <w:rPr>
          <w:rFonts w:ascii="Times New Roman" w:eastAsia="SimSun" w:hAnsi="Times New Roman" w:cs="Times New Roman"/>
          <w:sz w:val="24"/>
        </w:rPr>
        <w:t>,</w:t>
      </w:r>
      <w:r>
        <w:rPr>
          <w:rFonts w:ascii="Times New Roman" w:eastAsia="SimSun" w:hAnsi="Times New Roman" w:cs="Times New Roman"/>
          <w:sz w:val="24"/>
        </w:rPr>
        <w:t xml:space="preserve"> 128, 67–74,</w:t>
      </w:r>
      <w:r w:rsidR="004F34A4" w:rsidRPr="004F34A4">
        <w:t xml:space="preserve"> </w:t>
      </w:r>
      <w:r w:rsidR="004F34A4" w:rsidRPr="004F34A4">
        <w:rPr>
          <w:rFonts w:ascii="Times New Roman" w:eastAsia="SimSun" w:hAnsi="Times New Roman" w:cs="Times New Roman"/>
          <w:sz w:val="24"/>
        </w:rPr>
        <w:t>https://doi.org/10.1016/j.ecoenv.2016.01.030</w:t>
      </w:r>
      <w:r>
        <w:rPr>
          <w:rFonts w:ascii="Times New Roman" w:eastAsia="SimSun" w:hAnsi="Times New Roman" w:cs="Times New Roman"/>
          <w:sz w:val="24"/>
        </w:rPr>
        <w:t>.</w:t>
      </w:r>
    </w:p>
    <w:p w14:paraId="5496001A" w14:textId="567D3884" w:rsidR="00B5059A" w:rsidRDefault="00000000" w:rsidP="00F45F33">
      <w:pPr>
        <w:spacing w:line="360" w:lineRule="auto"/>
        <w:ind w:left="697" w:hanging="697"/>
        <w:rPr>
          <w:rFonts w:ascii="Times New Roman" w:eastAsia="SimSun" w:hAnsi="Times New Roman" w:cs="Times New Roman"/>
          <w:sz w:val="24"/>
        </w:rPr>
      </w:pPr>
      <w:bookmarkStart w:id="3" w:name="_ENREF_2"/>
      <w:bookmarkStart w:id="4" w:name="_ENREF_8"/>
      <w:r>
        <w:rPr>
          <w:rFonts w:ascii="Times New Roman" w:eastAsia="SimSun" w:hAnsi="Times New Roman" w:cs="Times New Roman"/>
          <w:sz w:val="24"/>
        </w:rPr>
        <w:t xml:space="preserve">Halperin D (2014) Environmental noise and sleep disturbances: A threat to health? Sleep Science, 7(4), 209-212. </w:t>
      </w:r>
      <w:hyperlink r:id="rId13" w:history="1">
        <w:r w:rsidR="00B5059A">
          <w:rPr>
            <w:rFonts w:ascii="Times New Roman" w:eastAsia="SimSun" w:hAnsi="Times New Roman" w:cs="Times New Roman"/>
            <w:sz w:val="24"/>
          </w:rPr>
          <w:t>http://doi.org/10.1016/j.slsci.2014.11.003</w:t>
        </w:r>
      </w:hyperlink>
      <w:r w:rsidR="004F34A4">
        <w:rPr>
          <w:rFonts w:ascii="Times New Roman" w:eastAsia="SimSun" w:hAnsi="Times New Roman" w:cs="Times New Roman"/>
          <w:sz w:val="24"/>
        </w:rPr>
        <w:t>.</w:t>
      </w:r>
    </w:p>
    <w:p w14:paraId="198ECE0C" w14:textId="49E58D55" w:rsidR="00B5059A" w:rsidRDefault="00000000" w:rsidP="00F45F33">
      <w:pPr>
        <w:spacing w:line="360" w:lineRule="auto"/>
        <w:ind w:left="697" w:hanging="697"/>
        <w:rPr>
          <w:rFonts w:ascii="Times New Roman" w:eastAsia="SimSun" w:hAnsi="Times New Roman" w:cs="Times New Roman"/>
          <w:sz w:val="24"/>
        </w:rPr>
      </w:pPr>
      <w:r>
        <w:rPr>
          <w:rFonts w:ascii="Times New Roman" w:eastAsia="SimSun" w:hAnsi="Times New Roman" w:cs="Times New Roman"/>
          <w:sz w:val="24"/>
        </w:rPr>
        <w:t>He B, Wang J, Zhu J, Qi J (2022) Beating the urban heat: Situation, background, impacts and the way forward in China. Renewable and Sustainable Energy Reviews</w:t>
      </w:r>
      <w:r w:rsidR="004F34A4">
        <w:rPr>
          <w:rFonts w:ascii="Times New Roman" w:eastAsia="SimSun" w:hAnsi="Times New Roman" w:cs="Times New Roman"/>
          <w:sz w:val="24"/>
        </w:rPr>
        <w:t>,</w:t>
      </w:r>
      <w:r>
        <w:rPr>
          <w:rFonts w:ascii="Times New Roman" w:eastAsia="SimSun" w:hAnsi="Times New Roman" w:cs="Times New Roman"/>
          <w:sz w:val="24"/>
        </w:rPr>
        <w:t xml:space="preserve"> 161</w:t>
      </w:r>
      <w:r w:rsidR="004F34A4">
        <w:rPr>
          <w:rFonts w:ascii="Times New Roman" w:eastAsia="SimSun" w:hAnsi="Times New Roman" w:cs="Times New Roman"/>
          <w:sz w:val="24"/>
        </w:rPr>
        <w:t xml:space="preserve">, </w:t>
      </w:r>
      <w:r>
        <w:rPr>
          <w:rFonts w:ascii="Times New Roman" w:eastAsia="SimSun" w:hAnsi="Times New Roman" w:cs="Times New Roman"/>
          <w:sz w:val="24"/>
        </w:rPr>
        <w:t xml:space="preserve">112350. </w:t>
      </w:r>
      <w:hyperlink r:id="rId14" w:history="1">
        <w:r w:rsidR="00B5059A">
          <w:rPr>
            <w:rFonts w:ascii="Times New Roman" w:eastAsia="SimSun" w:hAnsi="Times New Roman" w:cs="Times New Roman"/>
            <w:sz w:val="24"/>
          </w:rPr>
          <w:t>https://doi.org/10.1016/j.rser.2022.112350</w:t>
        </w:r>
        <w:bookmarkEnd w:id="3"/>
      </w:hyperlink>
      <w:r w:rsidR="004F34A4">
        <w:rPr>
          <w:rFonts w:ascii="Times New Roman" w:eastAsia="SimSun" w:hAnsi="Times New Roman" w:cs="Times New Roman"/>
          <w:sz w:val="24"/>
        </w:rPr>
        <w:t>.</w:t>
      </w:r>
    </w:p>
    <w:p w14:paraId="4AC81EA7" w14:textId="79830356" w:rsidR="00B5059A" w:rsidRDefault="00000000" w:rsidP="00F45F33">
      <w:pPr>
        <w:spacing w:line="360" w:lineRule="auto"/>
        <w:ind w:left="697" w:hanging="697"/>
        <w:rPr>
          <w:rFonts w:ascii="Times New Roman" w:eastAsia="SimSun" w:hAnsi="Times New Roman" w:cs="Times New Roman"/>
          <w:sz w:val="24"/>
          <w:lang w:val="en-GB"/>
        </w:rPr>
      </w:pPr>
      <w:r>
        <w:rPr>
          <w:rFonts w:ascii="Times New Roman" w:eastAsia="SimSun" w:hAnsi="Times New Roman" w:cs="Times New Roman"/>
          <w:sz w:val="24"/>
          <w:lang w:val="en-GB"/>
        </w:rPr>
        <w:t>Howard G, Bartram J, Williams A, Overbo A, Fuente D, Geere J (202</w:t>
      </w:r>
      <w:r>
        <w:rPr>
          <w:rFonts w:ascii="Times New Roman" w:eastAsia="SimSun" w:hAnsi="Times New Roman" w:cs="Times New Roman"/>
          <w:sz w:val="24"/>
        </w:rPr>
        <w:t>0</w:t>
      </w:r>
      <w:r>
        <w:rPr>
          <w:rFonts w:ascii="Times New Roman" w:eastAsia="SimSun" w:hAnsi="Times New Roman" w:cs="Times New Roman"/>
          <w:sz w:val="24"/>
          <w:lang w:val="en-GB"/>
        </w:rPr>
        <w:t>) Domestic water quantity, service level and health, Second Edition</w:t>
      </w:r>
      <w:r w:rsidR="004F34A4">
        <w:rPr>
          <w:rFonts w:ascii="Times New Roman" w:eastAsia="SimSun" w:hAnsi="Times New Roman" w:cs="Times New Roman"/>
          <w:sz w:val="24"/>
          <w:lang w:val="en-GB"/>
        </w:rPr>
        <w:t xml:space="preserve">. </w:t>
      </w:r>
      <w:r>
        <w:rPr>
          <w:rFonts w:ascii="Times New Roman" w:eastAsia="SimSun" w:hAnsi="Times New Roman" w:cs="Times New Roman"/>
          <w:sz w:val="24"/>
        </w:rPr>
        <w:t>World Health Organization</w:t>
      </w:r>
      <w:r>
        <w:rPr>
          <w:rFonts w:ascii="Times New Roman" w:eastAsia="SimSun" w:hAnsi="Times New Roman" w:cs="Times New Roman"/>
          <w:sz w:val="24"/>
          <w:lang w:val="en-GB"/>
        </w:rPr>
        <w:t xml:space="preserve">, </w:t>
      </w:r>
      <w:r>
        <w:rPr>
          <w:rFonts w:ascii="Times New Roman" w:eastAsia="SimSun" w:hAnsi="Times New Roman" w:cs="Times New Roman"/>
          <w:sz w:val="24"/>
        </w:rPr>
        <w:t xml:space="preserve">Copenhagen, </w:t>
      </w:r>
      <w:r>
        <w:rPr>
          <w:rFonts w:ascii="Times New Roman" w:eastAsia="SimSun" w:hAnsi="Times New Roman" w:cs="Times New Roman"/>
          <w:sz w:val="24"/>
          <w:lang w:val="en-GB"/>
        </w:rPr>
        <w:t>ISBN 978-92-4-001524-1</w:t>
      </w:r>
      <w:r w:rsidR="004F34A4">
        <w:rPr>
          <w:rFonts w:ascii="Times New Roman" w:eastAsia="SimSun" w:hAnsi="Times New Roman" w:cs="Times New Roman"/>
          <w:sz w:val="24"/>
          <w:lang w:val="en-GB"/>
        </w:rPr>
        <w:t>.</w:t>
      </w:r>
    </w:p>
    <w:p w14:paraId="004ADF86" w14:textId="2BAC0C18" w:rsidR="005B2D44" w:rsidRPr="005F77AE" w:rsidRDefault="005B2D44" w:rsidP="00F45F33">
      <w:pPr>
        <w:spacing w:line="360" w:lineRule="auto"/>
        <w:ind w:left="697" w:hanging="697"/>
        <w:rPr>
          <w:rFonts w:ascii="Times New Roman" w:eastAsia="SimSun" w:hAnsi="Times New Roman" w:cs="Times New Roman"/>
          <w:sz w:val="24"/>
          <w:lang w:val="en-GB"/>
        </w:rPr>
      </w:pPr>
      <w:r>
        <w:rPr>
          <w:rFonts w:ascii="Times New Roman" w:eastAsia="SimSun" w:hAnsi="Times New Roman" w:cs="Times New Roman"/>
          <w:sz w:val="24"/>
        </w:rPr>
        <w:t xml:space="preserve">Huangfu P, Atkinson R (2020) Long-term exposure to NO2 and O3 and all-cause and respiratory mortality: A systematic review and meta-analysis, </w:t>
      </w:r>
      <w:r w:rsidRPr="004F34A4">
        <w:rPr>
          <w:rFonts w:ascii="Times New Roman" w:eastAsia="SimSun" w:hAnsi="Times New Roman" w:cs="Times New Roman"/>
          <w:sz w:val="24"/>
        </w:rPr>
        <w:t>Environment international</w:t>
      </w:r>
      <w:r>
        <w:rPr>
          <w:rFonts w:ascii="Times New Roman" w:eastAsia="SimSun" w:hAnsi="Times New Roman" w:cs="Times New Roman"/>
          <w:sz w:val="24"/>
        </w:rPr>
        <w:t>, 144, 10599</w:t>
      </w:r>
      <w:r w:rsidRPr="005F77AE">
        <w:rPr>
          <w:rFonts w:ascii="Times New Roman" w:eastAsia="SimSun" w:hAnsi="Times New Roman" w:cs="Times New Roman"/>
          <w:sz w:val="24"/>
        </w:rPr>
        <w:t>8.</w:t>
      </w:r>
      <w:r w:rsidRPr="005F77AE">
        <w:t xml:space="preserve"> </w:t>
      </w:r>
      <w:r w:rsidRPr="005F77AE">
        <w:rPr>
          <w:rFonts w:ascii="Times New Roman" w:eastAsia="SimSun" w:hAnsi="Times New Roman" w:cs="Times New Roman"/>
          <w:sz w:val="24"/>
        </w:rPr>
        <w:t>https://doi.org/10.1016/j.envint.2020.105998.</w:t>
      </w:r>
    </w:p>
    <w:p w14:paraId="0FB4F382" w14:textId="7852F132" w:rsidR="004F34A4" w:rsidRPr="005F77AE" w:rsidRDefault="004F34A4" w:rsidP="00F45F33">
      <w:pPr>
        <w:spacing w:line="360" w:lineRule="auto"/>
        <w:ind w:left="697" w:hanging="697"/>
        <w:rPr>
          <w:rFonts w:ascii="Times New Roman" w:eastAsia="SimSun" w:hAnsi="Times New Roman" w:cs="Times New Roman"/>
          <w:sz w:val="24"/>
        </w:rPr>
      </w:pPr>
      <w:r w:rsidRPr="005F77AE">
        <w:rPr>
          <w:rFonts w:ascii="Times New Roman" w:eastAsia="SimSun" w:hAnsi="Times New Roman" w:cs="Times New Roman"/>
          <w:sz w:val="24"/>
        </w:rPr>
        <w:t>IEA (International Energy Agency) (2021). Empowering Cities for a Net Zero Future: Unlocking Resilient, Smart, Sustainable Urban Energy Systems. OECD Publishing.</w:t>
      </w:r>
      <w:r w:rsidRPr="005F77AE">
        <w:t xml:space="preserve"> </w:t>
      </w:r>
      <w:r w:rsidRPr="005F77AE">
        <w:rPr>
          <w:rFonts w:ascii="Times New Roman" w:eastAsia="SimSun" w:hAnsi="Times New Roman" w:cs="Times New Roman"/>
          <w:sz w:val="24"/>
        </w:rPr>
        <w:t>https://iea.blob.core.windows.net/assets/4d5c939d-9c37-490b-bb53-</w:t>
      </w:r>
      <w:r w:rsidRPr="005F77AE">
        <w:rPr>
          <w:rFonts w:ascii="Times New Roman" w:eastAsia="SimSun" w:hAnsi="Times New Roman" w:cs="Times New Roman"/>
          <w:sz w:val="24"/>
        </w:rPr>
        <w:lastRenderedPageBreak/>
        <w:t>2c0d23f2cf3d/G20EmpoweringCitiesforaNetZeroFuture.pdf. Accessed 18 May 2023.</w:t>
      </w:r>
    </w:p>
    <w:p w14:paraId="7A4CB7F8" w14:textId="3223FD4B" w:rsidR="00B5059A" w:rsidRDefault="00000000" w:rsidP="00F45F33">
      <w:pPr>
        <w:spacing w:line="360" w:lineRule="auto"/>
        <w:ind w:left="697" w:hanging="697"/>
        <w:rPr>
          <w:rFonts w:ascii="Times New Roman" w:eastAsia="SimSun" w:hAnsi="Times New Roman" w:cs="Times New Roman"/>
          <w:sz w:val="24"/>
        </w:rPr>
      </w:pPr>
      <w:bookmarkStart w:id="5" w:name="_ENREF_3"/>
      <w:proofErr w:type="spellStart"/>
      <w:r w:rsidRPr="005F77AE">
        <w:rPr>
          <w:rFonts w:ascii="Times New Roman" w:eastAsia="SimSun" w:hAnsi="Times New Roman" w:cs="Times New Roman"/>
          <w:sz w:val="24"/>
        </w:rPr>
        <w:t>Iping</w:t>
      </w:r>
      <w:proofErr w:type="spellEnd"/>
      <w:r w:rsidRPr="005F77AE">
        <w:rPr>
          <w:rFonts w:ascii="Times New Roman" w:eastAsia="SimSun" w:hAnsi="Times New Roman" w:cs="Times New Roman"/>
          <w:sz w:val="24"/>
        </w:rPr>
        <w:t xml:space="preserve"> A, Kidston-Lattari J, Simpson-Young A, Duncan E, McManus P (</w:t>
      </w:r>
      <w:r>
        <w:rPr>
          <w:rFonts w:ascii="Times New Roman" w:eastAsia="SimSun" w:hAnsi="Times New Roman" w:cs="Times New Roman"/>
          <w:sz w:val="24"/>
        </w:rPr>
        <w:t>2019) (Re)presenting urban heat islands in Australian cities: A study of media reporting and implications for urban heat and climate change debates. Urban Climate</w:t>
      </w:r>
      <w:r w:rsidR="004F34A4">
        <w:rPr>
          <w:rFonts w:ascii="Times New Roman" w:eastAsia="SimSun" w:hAnsi="Times New Roman" w:cs="Times New Roman"/>
          <w:sz w:val="24"/>
        </w:rPr>
        <w:t>,</w:t>
      </w:r>
      <w:r>
        <w:rPr>
          <w:rFonts w:ascii="Times New Roman" w:eastAsia="SimSun" w:hAnsi="Times New Roman" w:cs="Times New Roman"/>
          <w:sz w:val="24"/>
        </w:rPr>
        <w:t xml:space="preserve"> 27</w:t>
      </w:r>
      <w:r w:rsidR="004F34A4">
        <w:rPr>
          <w:rFonts w:ascii="Times New Roman" w:eastAsia="SimSun" w:hAnsi="Times New Roman" w:cs="Times New Roman"/>
          <w:sz w:val="24"/>
        </w:rPr>
        <w:t xml:space="preserve">, </w:t>
      </w:r>
      <w:r>
        <w:rPr>
          <w:rFonts w:ascii="Times New Roman" w:eastAsia="SimSun" w:hAnsi="Times New Roman" w:cs="Times New Roman"/>
          <w:sz w:val="24"/>
        </w:rPr>
        <w:t xml:space="preserve">420-429. </w:t>
      </w:r>
      <w:hyperlink r:id="rId15" w:history="1">
        <w:r w:rsidR="00B5059A">
          <w:rPr>
            <w:rFonts w:ascii="Times New Roman" w:eastAsia="SimSun" w:hAnsi="Times New Roman" w:cs="Times New Roman"/>
            <w:sz w:val="24"/>
          </w:rPr>
          <w:t>https://doi.org/10.1016/j.uclim.2018.12.014</w:t>
        </w:r>
        <w:bookmarkEnd w:id="5"/>
      </w:hyperlink>
      <w:r w:rsidR="004F34A4">
        <w:rPr>
          <w:rFonts w:ascii="Times New Roman" w:eastAsia="SimSun" w:hAnsi="Times New Roman" w:cs="Times New Roman"/>
          <w:sz w:val="24"/>
        </w:rPr>
        <w:t>.</w:t>
      </w:r>
    </w:p>
    <w:p w14:paraId="1E4C2428" w14:textId="3FE3EBFE" w:rsidR="00B5059A" w:rsidRDefault="00000000" w:rsidP="00F45F33">
      <w:pPr>
        <w:spacing w:line="360" w:lineRule="auto"/>
        <w:ind w:left="697" w:hanging="697"/>
        <w:rPr>
          <w:rFonts w:ascii="Times New Roman" w:eastAsia="SimSun" w:hAnsi="Times New Roman" w:cs="Times New Roman"/>
          <w:sz w:val="24"/>
        </w:rPr>
      </w:pPr>
      <w:r>
        <w:rPr>
          <w:rFonts w:ascii="Times New Roman" w:eastAsia="SimSun" w:hAnsi="Times New Roman" w:cs="Times New Roman"/>
          <w:sz w:val="24"/>
        </w:rPr>
        <w:t xml:space="preserve">IPCC (Intergovernmental Panel on Climate Change) (2018) Special Report on Global Warming of 1.5℃. </w:t>
      </w:r>
      <w:hyperlink r:id="rId16" w:history="1">
        <w:r w:rsidR="00B5059A">
          <w:rPr>
            <w:rFonts w:ascii="Times New Roman" w:eastAsia="SimSun" w:hAnsi="Times New Roman" w:cs="Times New Roman"/>
            <w:sz w:val="24"/>
          </w:rPr>
          <w:t>https://www.ipcc.ch/sr15/</w:t>
        </w:r>
      </w:hyperlink>
      <w:r>
        <w:rPr>
          <w:rFonts w:ascii="Times New Roman" w:eastAsia="SimSun" w:hAnsi="Times New Roman" w:cs="Times New Roman"/>
          <w:sz w:val="24"/>
        </w:rPr>
        <w:t>. Accessed 3 May 2023</w:t>
      </w:r>
      <w:r w:rsidR="004F34A4">
        <w:rPr>
          <w:rFonts w:ascii="Times New Roman" w:eastAsia="SimSun" w:hAnsi="Times New Roman" w:cs="Times New Roman"/>
          <w:sz w:val="24"/>
        </w:rPr>
        <w:t>.</w:t>
      </w:r>
    </w:p>
    <w:p w14:paraId="775AE965" w14:textId="79E1CFE4" w:rsidR="00B5059A" w:rsidRDefault="00000000" w:rsidP="00F45F33">
      <w:pPr>
        <w:spacing w:line="360" w:lineRule="auto"/>
        <w:ind w:left="697" w:hanging="697"/>
        <w:rPr>
          <w:rFonts w:ascii="Times New Roman" w:eastAsia="SimSun" w:hAnsi="Times New Roman" w:cs="Times New Roman"/>
          <w:sz w:val="24"/>
        </w:rPr>
      </w:pPr>
      <w:proofErr w:type="spellStart"/>
      <w:r>
        <w:rPr>
          <w:rFonts w:ascii="Times New Roman" w:eastAsia="SimSun" w:hAnsi="Times New Roman" w:cs="Times New Roman"/>
          <w:sz w:val="24"/>
        </w:rPr>
        <w:t>Münzel</w:t>
      </w:r>
      <w:proofErr w:type="spellEnd"/>
      <w:r>
        <w:rPr>
          <w:rFonts w:ascii="Times New Roman" w:eastAsia="SimSun" w:hAnsi="Times New Roman" w:cs="Times New Roman"/>
          <w:sz w:val="24"/>
        </w:rPr>
        <w:t xml:space="preserve"> T, Gori T, </w:t>
      </w:r>
      <w:proofErr w:type="spellStart"/>
      <w:r>
        <w:rPr>
          <w:rFonts w:ascii="Times New Roman" w:eastAsia="SimSun" w:hAnsi="Times New Roman" w:cs="Times New Roman"/>
          <w:sz w:val="24"/>
        </w:rPr>
        <w:t>Babisch</w:t>
      </w:r>
      <w:proofErr w:type="spellEnd"/>
      <w:r>
        <w:rPr>
          <w:rFonts w:ascii="Times New Roman" w:eastAsia="SimSun" w:hAnsi="Times New Roman" w:cs="Times New Roman"/>
          <w:sz w:val="24"/>
        </w:rPr>
        <w:t xml:space="preserve"> W, Basner M (2014) Cardiovascular effects of environmental noise exposure. European Heart Journal 35(13), 829–836. </w:t>
      </w:r>
      <w:hyperlink r:id="rId17" w:history="1">
        <w:r w:rsidR="00B5059A">
          <w:rPr>
            <w:rFonts w:ascii="Times New Roman" w:eastAsia="SimSun" w:hAnsi="Times New Roman" w:cs="Times New Roman"/>
            <w:sz w:val="24"/>
          </w:rPr>
          <w:t>https://doi.org/10.1093/eurheartj/ehu030</w:t>
        </w:r>
      </w:hyperlink>
      <w:r w:rsidR="004F34A4">
        <w:rPr>
          <w:rFonts w:ascii="Times New Roman" w:eastAsia="SimSun" w:hAnsi="Times New Roman" w:cs="Times New Roman"/>
          <w:sz w:val="24"/>
        </w:rPr>
        <w:t>.</w:t>
      </w:r>
    </w:p>
    <w:p w14:paraId="75B8BD2D" w14:textId="25B7290E" w:rsidR="00B5059A" w:rsidRDefault="00000000" w:rsidP="00F45F33">
      <w:pPr>
        <w:spacing w:line="360" w:lineRule="auto"/>
        <w:ind w:left="697" w:hanging="697"/>
        <w:rPr>
          <w:rFonts w:ascii="Times New Roman" w:eastAsia="SimSun" w:hAnsi="Times New Roman" w:cs="Times New Roman"/>
          <w:sz w:val="24"/>
        </w:rPr>
      </w:pPr>
      <w:proofErr w:type="spellStart"/>
      <w:r>
        <w:rPr>
          <w:rFonts w:ascii="Times New Roman" w:eastAsia="SimSun" w:hAnsi="Times New Roman" w:cs="Times New Roman"/>
          <w:sz w:val="24"/>
        </w:rPr>
        <w:t>Münzel</w:t>
      </w:r>
      <w:proofErr w:type="spellEnd"/>
      <w:r>
        <w:rPr>
          <w:rFonts w:ascii="Times New Roman" w:eastAsia="SimSun" w:hAnsi="Times New Roman" w:cs="Times New Roman"/>
          <w:sz w:val="24"/>
        </w:rPr>
        <w:t xml:space="preserve"> R, Schmidt F, Steven S, Herzog J, Daiber A, Sørensen M (2018) Environmental Noise and the Cardiovascular System. Journal of the American College of Cardiology, 71(6), 688-697. </w:t>
      </w:r>
      <w:hyperlink r:id="rId18" w:history="1">
        <w:r w:rsidR="00B5059A">
          <w:rPr>
            <w:rFonts w:ascii="Times New Roman" w:eastAsia="SimSun" w:hAnsi="Times New Roman" w:cs="Times New Roman"/>
            <w:sz w:val="24"/>
          </w:rPr>
          <w:t>https://doi.org/10.1016/j.jacc.2017.12.015</w:t>
        </w:r>
      </w:hyperlink>
      <w:r w:rsidR="004F34A4">
        <w:rPr>
          <w:rFonts w:ascii="Times New Roman" w:eastAsia="SimSun" w:hAnsi="Times New Roman" w:cs="Times New Roman"/>
          <w:sz w:val="24"/>
        </w:rPr>
        <w:t>.</w:t>
      </w:r>
    </w:p>
    <w:p w14:paraId="4B3E605B" w14:textId="34C46867" w:rsidR="00B5059A" w:rsidRDefault="00000000" w:rsidP="00F45F33">
      <w:pPr>
        <w:spacing w:line="360" w:lineRule="auto"/>
        <w:ind w:left="697" w:hanging="697"/>
        <w:rPr>
          <w:rFonts w:ascii="Times New Roman" w:eastAsia="SimSun" w:hAnsi="Times New Roman" w:cs="Times New Roman"/>
          <w:sz w:val="24"/>
        </w:rPr>
      </w:pPr>
      <w:bookmarkStart w:id="6" w:name="_ENREF_4"/>
      <w:r>
        <w:rPr>
          <w:rFonts w:ascii="Times New Roman" w:eastAsia="SimSun" w:hAnsi="Times New Roman" w:cs="Times New Roman"/>
          <w:sz w:val="24"/>
        </w:rPr>
        <w:t>Macintyre HL, Heaviside C, Taylor J, Picetti R, Symonds P, Cai XM, Vardoulakis S (2018) Assessing urban population vulnerability and environmental risks across an urban area during heatwaves – Implications for health protection. Science of The Total Environment 610</w:t>
      </w:r>
      <w:r w:rsidR="004F34A4">
        <w:rPr>
          <w:rFonts w:ascii="Times New Roman" w:eastAsia="SimSun" w:hAnsi="Times New Roman" w:cs="Times New Roman"/>
          <w:sz w:val="24"/>
        </w:rPr>
        <w:t xml:space="preserve">, </w:t>
      </w:r>
      <w:r>
        <w:rPr>
          <w:rFonts w:ascii="Times New Roman" w:eastAsia="SimSun" w:hAnsi="Times New Roman" w:cs="Times New Roman"/>
          <w:sz w:val="24"/>
        </w:rPr>
        <w:t xml:space="preserve">678-690. </w:t>
      </w:r>
      <w:hyperlink r:id="rId19" w:history="1">
        <w:r w:rsidR="00B5059A">
          <w:rPr>
            <w:rFonts w:ascii="Times New Roman" w:eastAsia="SimSun" w:hAnsi="Times New Roman" w:cs="Times New Roman"/>
            <w:sz w:val="24"/>
          </w:rPr>
          <w:t>https://doi.org/10.1016/j.scitotenv.2017.08.062</w:t>
        </w:r>
        <w:bookmarkEnd w:id="6"/>
      </w:hyperlink>
      <w:r w:rsidR="004F34A4">
        <w:rPr>
          <w:rFonts w:ascii="Times New Roman" w:eastAsia="SimSun" w:hAnsi="Times New Roman" w:cs="Times New Roman"/>
          <w:sz w:val="24"/>
        </w:rPr>
        <w:t>.</w:t>
      </w:r>
    </w:p>
    <w:p w14:paraId="01ECE919" w14:textId="17EFE322" w:rsidR="00B5059A" w:rsidRPr="005F77AE" w:rsidRDefault="00000000" w:rsidP="00F45F33">
      <w:pPr>
        <w:spacing w:line="360" w:lineRule="auto"/>
        <w:ind w:left="697" w:hanging="697"/>
        <w:rPr>
          <w:rFonts w:ascii="Times New Roman" w:eastAsia="SimSun" w:hAnsi="Times New Roman" w:cs="Times New Roman"/>
          <w:sz w:val="24"/>
        </w:rPr>
      </w:pPr>
      <w:bookmarkStart w:id="7" w:name="_ENREF_6"/>
      <w:r>
        <w:rPr>
          <w:rFonts w:ascii="Times New Roman" w:eastAsia="SimSun" w:hAnsi="Times New Roman" w:cs="Times New Roman"/>
          <w:sz w:val="24"/>
        </w:rPr>
        <w:t xml:space="preserve">PHE (2020) Heatwave mortality monitoring report: 2020. Public Health England (PHE). </w:t>
      </w:r>
      <w:hyperlink r:id="rId20" w:history="1">
        <w:r w:rsidR="00B5059A" w:rsidRPr="005F77AE">
          <w:rPr>
            <w:rFonts w:ascii="Times New Roman" w:eastAsia="SimSun" w:hAnsi="Times New Roman" w:cs="Times New Roman"/>
            <w:sz w:val="24"/>
          </w:rPr>
          <w:t>https://www.gov.uk/government/publications/phe-heatwave-mortality-monitoring/heatwave-mortality-monitoring-report-2020</w:t>
        </w:r>
      </w:hyperlink>
      <w:r w:rsidRPr="005F77AE">
        <w:rPr>
          <w:rFonts w:ascii="Times New Roman" w:eastAsia="SimSun" w:hAnsi="Times New Roman" w:cs="Times New Roman"/>
          <w:sz w:val="24"/>
        </w:rPr>
        <w:t xml:space="preserve">. Accessed </w:t>
      </w:r>
      <w:r w:rsidR="004F34A4" w:rsidRPr="005F77AE">
        <w:rPr>
          <w:rFonts w:ascii="Times New Roman" w:eastAsia="SimSun" w:hAnsi="Times New Roman" w:cs="Times New Roman"/>
          <w:sz w:val="24"/>
        </w:rPr>
        <w:t xml:space="preserve">22 </w:t>
      </w:r>
      <w:r w:rsidRPr="005F77AE">
        <w:rPr>
          <w:rFonts w:ascii="Times New Roman" w:eastAsia="SimSun" w:hAnsi="Times New Roman" w:cs="Times New Roman"/>
          <w:sz w:val="24"/>
        </w:rPr>
        <w:t>Nov 2022</w:t>
      </w:r>
      <w:bookmarkEnd w:id="7"/>
      <w:r w:rsidR="004F34A4" w:rsidRPr="005F77AE">
        <w:rPr>
          <w:rFonts w:ascii="Times New Roman" w:eastAsia="SimSun" w:hAnsi="Times New Roman" w:cs="Times New Roman"/>
          <w:sz w:val="24"/>
        </w:rPr>
        <w:t>.</w:t>
      </w:r>
    </w:p>
    <w:p w14:paraId="20D1EBC3" w14:textId="7621A376" w:rsidR="00B5059A" w:rsidRPr="005F77AE" w:rsidRDefault="00000000" w:rsidP="00F45F33">
      <w:pPr>
        <w:spacing w:line="360" w:lineRule="auto"/>
        <w:ind w:left="697" w:hanging="697"/>
        <w:rPr>
          <w:rFonts w:ascii="Times New Roman" w:eastAsia="SimSun" w:hAnsi="Times New Roman" w:cs="Times New Roman"/>
          <w:sz w:val="24"/>
        </w:rPr>
      </w:pPr>
      <w:r w:rsidRPr="005F77AE">
        <w:rPr>
          <w:rFonts w:ascii="Times New Roman" w:eastAsia="SimSun" w:hAnsi="Times New Roman" w:cs="Times New Roman"/>
          <w:sz w:val="24"/>
        </w:rPr>
        <w:t xml:space="preserve">Seinfeld J, </w:t>
      </w:r>
      <w:proofErr w:type="spellStart"/>
      <w:r w:rsidRPr="005F77AE">
        <w:rPr>
          <w:rFonts w:ascii="Times New Roman" w:eastAsia="SimSun" w:hAnsi="Times New Roman" w:cs="Times New Roman"/>
          <w:sz w:val="24"/>
        </w:rPr>
        <w:t>Pandis</w:t>
      </w:r>
      <w:proofErr w:type="spellEnd"/>
      <w:r w:rsidRPr="005F77AE">
        <w:rPr>
          <w:rFonts w:ascii="Times New Roman" w:eastAsia="SimSun" w:hAnsi="Times New Roman" w:cs="Times New Roman"/>
          <w:sz w:val="24"/>
        </w:rPr>
        <w:t xml:space="preserve"> S (1998) “Atmospheric chemistry and physics: from air pollution to climate change,” John Wiley Sons.</w:t>
      </w:r>
    </w:p>
    <w:p w14:paraId="2DE6DE5F" w14:textId="341F6C81" w:rsidR="004F34A4" w:rsidRPr="005F77AE" w:rsidRDefault="004F34A4" w:rsidP="00F45F33">
      <w:pPr>
        <w:spacing w:line="360" w:lineRule="auto"/>
        <w:ind w:left="697" w:hanging="697"/>
        <w:rPr>
          <w:rFonts w:ascii="Times New Roman" w:eastAsia="SimSun" w:hAnsi="Times New Roman" w:cs="Times New Roman"/>
          <w:sz w:val="24"/>
        </w:rPr>
      </w:pPr>
      <w:r w:rsidRPr="005F77AE">
        <w:rPr>
          <w:rFonts w:ascii="Times New Roman" w:eastAsia="SimSun" w:hAnsi="Times New Roman" w:cs="Times New Roman"/>
          <w:sz w:val="24"/>
        </w:rPr>
        <w:t>Tang W, Pei Y, Zheng H, Zhao Y, Shu L, Zhang H (2022) Twenty years of China's water pollution control: Experiences and challenges. Chemosphere, 295, 133875.</w:t>
      </w:r>
      <w:r w:rsidRPr="005F77AE">
        <w:t xml:space="preserve"> </w:t>
      </w:r>
      <w:r w:rsidRPr="005F77AE">
        <w:rPr>
          <w:rFonts w:ascii="Times New Roman" w:eastAsia="SimSun" w:hAnsi="Times New Roman" w:cs="Times New Roman"/>
          <w:sz w:val="24"/>
        </w:rPr>
        <w:t>https://doi.org/10.1016/j.chemosphere.2022.133875.</w:t>
      </w:r>
    </w:p>
    <w:p w14:paraId="57C8A9A5" w14:textId="7937F2F4" w:rsidR="004F34A4" w:rsidRDefault="009852FC" w:rsidP="00F45F33">
      <w:pPr>
        <w:spacing w:line="360" w:lineRule="auto"/>
        <w:ind w:left="697" w:hanging="697"/>
        <w:rPr>
          <w:rFonts w:ascii="Times New Roman" w:eastAsia="SimSun" w:hAnsi="Times New Roman" w:cs="Times New Roman"/>
          <w:sz w:val="24"/>
        </w:rPr>
      </w:pPr>
      <w:r>
        <w:rPr>
          <w:rFonts w:ascii="Times New Roman" w:eastAsia="SimSun" w:hAnsi="Times New Roman" w:cs="Times New Roman"/>
          <w:sz w:val="24"/>
        </w:rPr>
        <w:t xml:space="preserve">The World Bank , </w:t>
      </w:r>
      <w:r w:rsidRPr="009852FC">
        <w:rPr>
          <w:rFonts w:ascii="Times New Roman" w:eastAsia="SimSun" w:hAnsi="Times New Roman" w:cs="Times New Roman"/>
          <w:sz w:val="24"/>
        </w:rPr>
        <w:t>https://www.worldbank.org/en/topic/urbandevelopment/overview</w:t>
      </w:r>
      <w:r w:rsidR="004F34A4">
        <w:rPr>
          <w:rFonts w:ascii="Times New Roman" w:eastAsia="SimSun" w:hAnsi="Times New Roman" w:cs="Times New Roman"/>
          <w:sz w:val="24"/>
        </w:rPr>
        <w:t xml:space="preserve">Assessed </w:t>
      </w:r>
      <w:r>
        <w:rPr>
          <w:rFonts w:ascii="Times New Roman" w:eastAsia="SimSun" w:hAnsi="Times New Roman" w:cs="Times New Roman"/>
          <w:sz w:val="24"/>
        </w:rPr>
        <w:t xml:space="preserve"> 21 December</w:t>
      </w:r>
      <w:r w:rsidR="004F34A4">
        <w:rPr>
          <w:rFonts w:ascii="Times New Roman" w:eastAsia="SimSun" w:hAnsi="Times New Roman" w:cs="Times New Roman"/>
          <w:sz w:val="24"/>
        </w:rPr>
        <w:t xml:space="preserve"> 2023.</w:t>
      </w:r>
    </w:p>
    <w:p w14:paraId="16AADBC4" w14:textId="77DF4F3E" w:rsidR="00B5059A" w:rsidRDefault="0014063B" w:rsidP="00F45F33">
      <w:pPr>
        <w:spacing w:line="360" w:lineRule="auto"/>
        <w:ind w:left="697" w:hanging="697"/>
        <w:rPr>
          <w:rFonts w:ascii="Times New Roman" w:eastAsia="SimSun" w:hAnsi="Times New Roman" w:cs="Times New Roman"/>
          <w:sz w:val="24"/>
        </w:rPr>
      </w:pPr>
      <w:r>
        <w:rPr>
          <w:rFonts w:ascii="Times New Roman" w:eastAsia="SimSun" w:hAnsi="Times New Roman" w:cs="Times New Roman"/>
          <w:sz w:val="24"/>
        </w:rPr>
        <w:t>UNEP (United Nations Environment Programme) (2022) Frontiers 2022: Noise, Blazes and Mismatches – Emerging Issues of Environmental Concern. Nairobi</w:t>
      </w:r>
      <w:r w:rsidR="004F34A4">
        <w:rPr>
          <w:rFonts w:ascii="Times New Roman" w:eastAsia="SimSun" w:hAnsi="Times New Roman" w:cs="Times New Roman"/>
          <w:sz w:val="24"/>
        </w:rPr>
        <w:t>.</w:t>
      </w:r>
    </w:p>
    <w:bookmarkEnd w:id="4"/>
    <w:p w14:paraId="714061E4" w14:textId="16C2A16E" w:rsidR="00B5059A" w:rsidRDefault="00000000" w:rsidP="00F45F33">
      <w:pPr>
        <w:spacing w:line="360" w:lineRule="auto"/>
        <w:ind w:left="697" w:hanging="697"/>
        <w:rPr>
          <w:rFonts w:ascii="Times New Roman" w:eastAsia="SimSun" w:hAnsi="Times New Roman" w:cs="Times New Roman"/>
          <w:sz w:val="24"/>
        </w:rPr>
      </w:pPr>
      <w:r>
        <w:rPr>
          <w:rFonts w:ascii="Times New Roman" w:eastAsia="SimSun" w:hAnsi="Times New Roman" w:cs="Times New Roman"/>
          <w:sz w:val="24"/>
        </w:rPr>
        <w:t xml:space="preserve">WHO (2018) Heat and Health. </w:t>
      </w:r>
      <w:hyperlink r:id="rId21" w:history="1">
        <w:r w:rsidR="00B5059A">
          <w:rPr>
            <w:rFonts w:ascii="Times New Roman" w:eastAsia="SimSun" w:hAnsi="Times New Roman" w:cs="Times New Roman"/>
            <w:sz w:val="24"/>
          </w:rPr>
          <w:t>https://www.who.int/news-room/fact-sheets/detail/climate-change-heat-and-health</w:t>
        </w:r>
      </w:hyperlink>
      <w:r>
        <w:rPr>
          <w:rFonts w:ascii="Times New Roman" w:eastAsia="SimSun" w:hAnsi="Times New Roman" w:cs="Times New Roman"/>
          <w:sz w:val="24"/>
        </w:rPr>
        <w:t>. Accessed 4 May 2023</w:t>
      </w:r>
      <w:r w:rsidR="004F34A4">
        <w:rPr>
          <w:rFonts w:ascii="Times New Roman" w:eastAsia="SimSun" w:hAnsi="Times New Roman" w:cs="Times New Roman"/>
          <w:sz w:val="24"/>
        </w:rPr>
        <w:t>.</w:t>
      </w:r>
    </w:p>
    <w:p w14:paraId="4DF8628F" w14:textId="43B7C8E9" w:rsidR="00B5059A" w:rsidRDefault="00000000" w:rsidP="00F45F33">
      <w:pPr>
        <w:spacing w:line="360" w:lineRule="auto"/>
        <w:ind w:left="697" w:hanging="697"/>
        <w:rPr>
          <w:rFonts w:ascii="Times New Roman" w:eastAsia="SimSun" w:hAnsi="Times New Roman" w:cs="Times New Roman"/>
          <w:sz w:val="24"/>
        </w:rPr>
      </w:pPr>
      <w:r>
        <w:rPr>
          <w:rFonts w:ascii="Times New Roman" w:eastAsia="SimSun" w:hAnsi="Times New Roman" w:cs="Times New Roman"/>
          <w:sz w:val="24"/>
        </w:rPr>
        <w:t>WHO (2017) Flooding: Managing health risks in the WHO European region, World Health Organization, Copenhagen. ISSN 978289052795</w:t>
      </w:r>
      <w:r w:rsidR="004F34A4">
        <w:rPr>
          <w:rFonts w:ascii="Times New Roman" w:eastAsia="SimSun" w:hAnsi="Times New Roman" w:cs="Times New Roman"/>
          <w:sz w:val="24"/>
        </w:rPr>
        <w:t>.</w:t>
      </w:r>
    </w:p>
    <w:p w14:paraId="1F4E1751" w14:textId="6C6BB639" w:rsidR="004F34A4" w:rsidRPr="004F34A4" w:rsidRDefault="004F34A4" w:rsidP="00F45F33">
      <w:pPr>
        <w:spacing w:line="360" w:lineRule="auto"/>
        <w:ind w:left="697" w:hanging="697"/>
        <w:rPr>
          <w:rFonts w:ascii="Times New Roman" w:eastAsia="SimSun" w:hAnsi="Times New Roman" w:cs="Times New Roman"/>
          <w:sz w:val="24"/>
        </w:rPr>
      </w:pPr>
      <w:r>
        <w:rPr>
          <w:rFonts w:ascii="Times New Roman" w:eastAsia="SimSun" w:hAnsi="Times New Roman" w:cs="Times New Roman"/>
          <w:sz w:val="24"/>
        </w:rPr>
        <w:t xml:space="preserve">WHO (2021) World report on hearing, World Health Organization, </w:t>
      </w:r>
      <w:r w:rsidRPr="004F34A4">
        <w:rPr>
          <w:rFonts w:ascii="Times New Roman" w:eastAsia="SimSun" w:hAnsi="Times New Roman" w:cs="Times New Roman"/>
          <w:sz w:val="24"/>
        </w:rPr>
        <w:t>Geneva</w:t>
      </w:r>
      <w:r>
        <w:rPr>
          <w:rFonts w:ascii="Times New Roman" w:eastAsia="SimSun" w:hAnsi="Times New Roman" w:cs="Times New Roman"/>
          <w:sz w:val="24"/>
        </w:rPr>
        <w:t>,</w:t>
      </w:r>
      <w:r w:rsidRPr="004F34A4">
        <w:rPr>
          <w:rFonts w:ascii="Times New Roman" w:eastAsia="SimSun" w:hAnsi="Times New Roman" w:cs="Times New Roman"/>
          <w:sz w:val="24"/>
        </w:rPr>
        <w:t xml:space="preserve"> ISBN 978-92-4-</w:t>
      </w:r>
      <w:r w:rsidRPr="004F34A4">
        <w:rPr>
          <w:rFonts w:ascii="Times New Roman" w:eastAsia="SimSun" w:hAnsi="Times New Roman" w:cs="Times New Roman"/>
          <w:sz w:val="24"/>
        </w:rPr>
        <w:lastRenderedPageBreak/>
        <w:t>002048-1</w:t>
      </w:r>
      <w:r>
        <w:rPr>
          <w:rFonts w:ascii="Times New Roman" w:eastAsia="SimSun" w:hAnsi="Times New Roman" w:cs="Times New Roman"/>
          <w:sz w:val="24"/>
        </w:rPr>
        <w:t>.</w:t>
      </w:r>
      <w:r w:rsidRPr="004F34A4" w:rsidDel="004F34A4">
        <w:rPr>
          <w:rFonts w:ascii="Times New Roman" w:eastAsia="SimSun" w:hAnsi="Times New Roman" w:cs="Times New Roman"/>
          <w:sz w:val="24"/>
        </w:rPr>
        <w:t xml:space="preserve"> </w:t>
      </w:r>
    </w:p>
    <w:p w14:paraId="4695B0E1" w14:textId="7B3A9307" w:rsidR="00B5059A" w:rsidRDefault="00000000" w:rsidP="00F45F33">
      <w:pPr>
        <w:spacing w:line="360" w:lineRule="auto"/>
        <w:ind w:left="697" w:hanging="697"/>
        <w:rPr>
          <w:rFonts w:ascii="Times New Roman" w:eastAsia="SimSun" w:hAnsi="Times New Roman" w:cs="Times New Roman"/>
          <w:sz w:val="24"/>
        </w:rPr>
      </w:pPr>
      <w:r>
        <w:rPr>
          <w:rFonts w:ascii="Times New Roman" w:eastAsia="SimSun" w:hAnsi="Times New Roman" w:cs="Times New Roman"/>
          <w:sz w:val="24"/>
        </w:rPr>
        <w:t>WHO (2023) Ambient (outdoor) air pollution, World Health Organization</w:t>
      </w:r>
      <w:r w:rsidR="004F34A4">
        <w:rPr>
          <w:rFonts w:ascii="Times New Roman" w:eastAsia="SimSun" w:hAnsi="Times New Roman" w:cs="Times New Roman"/>
          <w:sz w:val="24"/>
        </w:rPr>
        <w:t xml:space="preserve">. </w:t>
      </w:r>
      <w:r>
        <w:rPr>
          <w:rFonts w:ascii="Times New Roman" w:eastAsia="SimSun" w:hAnsi="Times New Roman" w:cs="Times New Roman"/>
          <w:sz w:val="24"/>
        </w:rPr>
        <w:t>https://www.who.int/news-room/fact-sheets/detail/ambient-(outdoor)-air-quality-and-health. Accessed 9 May 2023</w:t>
      </w:r>
      <w:r w:rsidR="004F34A4">
        <w:rPr>
          <w:rFonts w:ascii="Times New Roman" w:eastAsia="SimSun" w:hAnsi="Times New Roman" w:cs="Times New Roman"/>
          <w:sz w:val="24"/>
        </w:rPr>
        <w:t>.</w:t>
      </w:r>
    </w:p>
    <w:p w14:paraId="77AF78BC" w14:textId="302048B0" w:rsidR="00B5059A" w:rsidRDefault="00000000" w:rsidP="00F45F33">
      <w:pPr>
        <w:spacing w:line="360" w:lineRule="auto"/>
        <w:ind w:left="697" w:hanging="697"/>
        <w:rPr>
          <w:rFonts w:ascii="Times New Roman" w:eastAsia="SimSun" w:hAnsi="Times New Roman" w:cs="Times New Roman"/>
          <w:sz w:val="24"/>
        </w:rPr>
      </w:pPr>
      <w:r>
        <w:rPr>
          <w:rFonts w:ascii="Times New Roman" w:eastAsia="SimSun" w:hAnsi="Times New Roman" w:cs="Times New Roman"/>
          <w:sz w:val="24"/>
        </w:rPr>
        <w:t>WHO (2023) Air pollution</w:t>
      </w:r>
      <w:r w:rsidR="004F34A4">
        <w:rPr>
          <w:rFonts w:ascii="Times New Roman" w:eastAsia="SimSun" w:hAnsi="Times New Roman" w:cs="Times New Roman"/>
          <w:sz w:val="24"/>
        </w:rPr>
        <w:t xml:space="preserve">. </w:t>
      </w:r>
      <w:r>
        <w:rPr>
          <w:rFonts w:ascii="Times New Roman" w:eastAsia="SimSun" w:hAnsi="Times New Roman" w:cs="Times New Roman"/>
          <w:sz w:val="24"/>
        </w:rPr>
        <w:t>World Health Organization</w:t>
      </w:r>
      <w:r w:rsidR="004F34A4">
        <w:rPr>
          <w:rFonts w:ascii="Times New Roman" w:eastAsia="SimSun" w:hAnsi="Times New Roman" w:cs="Times New Roman"/>
          <w:sz w:val="24"/>
        </w:rPr>
        <w:t xml:space="preserve">. </w:t>
      </w:r>
      <w:r>
        <w:rPr>
          <w:rFonts w:ascii="Times New Roman" w:eastAsia="SimSun" w:hAnsi="Times New Roman" w:cs="Times New Roman"/>
          <w:sz w:val="24"/>
        </w:rPr>
        <w:t>https://www.who.int/health-topics/air-pollution#tab=tab_1. Accessed 9 May 2023</w:t>
      </w:r>
      <w:r w:rsidR="004F34A4">
        <w:rPr>
          <w:rFonts w:ascii="Times New Roman" w:eastAsia="SimSun" w:hAnsi="Times New Roman" w:cs="Times New Roman"/>
          <w:sz w:val="24"/>
        </w:rPr>
        <w:t>.</w:t>
      </w:r>
    </w:p>
    <w:p w14:paraId="21B7ABB3" w14:textId="425EB2BD" w:rsidR="00B5059A" w:rsidRDefault="00000000" w:rsidP="00F45F33">
      <w:pPr>
        <w:spacing w:line="360" w:lineRule="auto"/>
        <w:ind w:left="697" w:hanging="697"/>
        <w:rPr>
          <w:rFonts w:ascii="Times New Roman" w:eastAsia="SimSun" w:hAnsi="Times New Roman" w:cs="Times New Roman"/>
          <w:sz w:val="24"/>
        </w:rPr>
      </w:pPr>
      <w:r>
        <w:rPr>
          <w:rFonts w:ascii="Times New Roman" w:eastAsia="SimSun" w:hAnsi="Times New Roman" w:cs="Times New Roman"/>
          <w:sz w:val="24"/>
        </w:rPr>
        <w:t>WHO (2013) Health effects of particulate matter: policy implications for countries in eastern Europe, Caucasus and central Asia. World Health Organization, Copenhagen: WHO Regional Office for Europe, 2013</w:t>
      </w:r>
      <w:r w:rsidR="004F34A4">
        <w:rPr>
          <w:rFonts w:ascii="Times New Roman" w:eastAsia="SimSun" w:hAnsi="Times New Roman" w:cs="Times New Roman"/>
          <w:sz w:val="24"/>
        </w:rPr>
        <w:t>.</w:t>
      </w:r>
    </w:p>
    <w:p w14:paraId="1E42BEFB" w14:textId="20EB0645" w:rsidR="00B5059A" w:rsidRDefault="00000000" w:rsidP="00F45F33">
      <w:pPr>
        <w:spacing w:line="360" w:lineRule="auto"/>
        <w:ind w:left="697" w:hanging="697"/>
        <w:rPr>
          <w:rFonts w:ascii="Times New Roman" w:eastAsia="SimSun" w:hAnsi="Times New Roman" w:cs="Times New Roman"/>
          <w:sz w:val="24"/>
        </w:rPr>
      </w:pPr>
      <w:r>
        <w:rPr>
          <w:rFonts w:ascii="Times New Roman" w:eastAsia="SimSun" w:hAnsi="Times New Roman" w:cs="Times New Roman" w:hint="eastAsia"/>
          <w:sz w:val="24"/>
        </w:rPr>
        <w:t xml:space="preserve">WHO (2023) </w:t>
      </w:r>
      <w:r>
        <w:rPr>
          <w:rFonts w:ascii="Times New Roman" w:eastAsia="SimSun" w:hAnsi="Times New Roman" w:cs="Times New Roman" w:hint="eastAsia"/>
          <w:color w:val="3C4245"/>
          <w:sz w:val="24"/>
        </w:rPr>
        <w:t>Heat and Health</w:t>
      </w:r>
      <w:r w:rsidR="004F34A4">
        <w:rPr>
          <w:rFonts w:ascii="Times New Roman" w:eastAsia="SimSun" w:hAnsi="Times New Roman" w:cs="Times New Roman"/>
          <w:color w:val="3C4245"/>
          <w:sz w:val="24"/>
        </w:rPr>
        <w:t>.</w:t>
      </w:r>
      <w:r w:rsidR="004F34A4">
        <w:rPr>
          <w:rFonts w:ascii="Times New Roman" w:eastAsia="SimSun" w:hAnsi="Times New Roman" w:cs="Times New Roman" w:hint="eastAsia"/>
          <w:color w:val="3C4245"/>
          <w:sz w:val="24"/>
        </w:rPr>
        <w:t xml:space="preserve"> </w:t>
      </w:r>
      <w:r>
        <w:rPr>
          <w:rFonts w:ascii="Times New Roman" w:eastAsia="SimSun" w:hAnsi="Times New Roman" w:cs="Times New Roman"/>
          <w:sz w:val="24"/>
        </w:rPr>
        <w:t>World Health Organization</w:t>
      </w:r>
      <w:r w:rsidR="004F34A4">
        <w:rPr>
          <w:rFonts w:ascii="Times New Roman" w:eastAsia="SimSun" w:hAnsi="Times New Roman" w:cs="Times New Roman"/>
          <w:sz w:val="24"/>
        </w:rPr>
        <w:t>.</w:t>
      </w:r>
      <w:r w:rsidR="004F34A4">
        <w:rPr>
          <w:rFonts w:ascii="Times New Roman" w:eastAsia="SimSun" w:hAnsi="Times New Roman" w:cs="Times New Roman" w:hint="eastAsia"/>
          <w:sz w:val="24"/>
        </w:rPr>
        <w:t xml:space="preserve"> </w:t>
      </w:r>
      <w:r>
        <w:rPr>
          <w:rFonts w:ascii="Times New Roman" w:eastAsia="SimSun" w:hAnsi="Times New Roman" w:cs="Times New Roman" w:hint="eastAsia"/>
          <w:sz w:val="24"/>
        </w:rPr>
        <w:t>https://www.who.int/news-room/fact-sheets/detail/climate-change-heat-and-health, Accessed 15 May, 2023</w:t>
      </w:r>
      <w:r w:rsidR="004F34A4">
        <w:rPr>
          <w:rFonts w:ascii="Times New Roman" w:eastAsia="SimSun" w:hAnsi="Times New Roman" w:cs="Times New Roman"/>
          <w:sz w:val="24"/>
        </w:rPr>
        <w:t>.</w:t>
      </w:r>
    </w:p>
    <w:p w14:paraId="01A56B92" w14:textId="6D7F8C50" w:rsidR="00B5059A" w:rsidRDefault="00000000" w:rsidP="00F45F33">
      <w:pPr>
        <w:spacing w:line="360" w:lineRule="auto"/>
        <w:ind w:left="697" w:hanging="697"/>
        <w:rPr>
          <w:rFonts w:ascii="Times New Roman" w:eastAsia="SimSun" w:hAnsi="Times New Roman" w:cs="Times New Roman"/>
          <w:sz w:val="24"/>
        </w:rPr>
      </w:pPr>
      <w:bookmarkStart w:id="8" w:name="_ENREF_9"/>
      <w:r>
        <w:rPr>
          <w:rFonts w:ascii="Times New Roman" w:eastAsia="SimSun" w:hAnsi="Times New Roman" w:cs="Times New Roman"/>
          <w:sz w:val="24"/>
        </w:rPr>
        <w:t xml:space="preserve">WMO (2021) WMO Atlas of Mortality and Economic Losses from Weather, Climate and Water Extremes (1970–2019). World Meteorological Organization (WMO). </w:t>
      </w:r>
      <w:hyperlink r:id="rId22" w:anchor=".ZFPHTnbMJPa" w:history="1">
        <w:r w:rsidR="00B5059A">
          <w:rPr>
            <w:rFonts w:ascii="Times New Roman" w:eastAsia="SimSun" w:hAnsi="Times New Roman" w:cs="Times New Roman"/>
            <w:sz w:val="24"/>
          </w:rPr>
          <w:t>https://library.wmo.int/index.php?lvl=notice_display&amp;id=21930#.ZFPHTnbMJPa</w:t>
        </w:r>
        <w:bookmarkEnd w:id="8"/>
      </w:hyperlink>
      <w:r w:rsidR="004F34A4">
        <w:rPr>
          <w:rFonts w:ascii="Times New Roman" w:eastAsia="SimSun" w:hAnsi="Times New Roman" w:cs="Times New Roman"/>
          <w:sz w:val="24"/>
        </w:rPr>
        <w:t>.</w:t>
      </w:r>
    </w:p>
    <w:p w14:paraId="421C5EFC" w14:textId="721EB8E7" w:rsidR="00B5059A" w:rsidRDefault="00000000" w:rsidP="00F45F33">
      <w:pPr>
        <w:spacing w:line="360" w:lineRule="auto"/>
        <w:ind w:left="697" w:hanging="697"/>
        <w:rPr>
          <w:rFonts w:ascii="Times New Roman" w:eastAsia="SimSun" w:hAnsi="Times New Roman" w:cs="Times New Roman"/>
          <w:sz w:val="24"/>
        </w:rPr>
      </w:pPr>
      <w:bookmarkStart w:id="9" w:name="_ENREF_10"/>
      <w:r>
        <w:rPr>
          <w:rFonts w:ascii="Times New Roman" w:eastAsia="SimSun" w:hAnsi="Times New Roman" w:cs="Times New Roman"/>
          <w:sz w:val="24"/>
        </w:rPr>
        <w:t xml:space="preserve">WMO, WHO (2015) Heatwaves and Health: Guidance on Warning-System Development. World Meteorological Organization (WMO), World Health Organization (WHO). </w:t>
      </w:r>
      <w:hyperlink r:id="rId23" w:history="1">
        <w:r w:rsidR="00B5059A">
          <w:rPr>
            <w:rFonts w:ascii="Times New Roman" w:eastAsia="SimSun" w:hAnsi="Times New Roman" w:cs="Times New Roman"/>
            <w:sz w:val="24"/>
          </w:rPr>
          <w:t>https://www.who.int/publications/m/item/heatwaves-and-health--guidance-on-warning-system-development</w:t>
        </w:r>
        <w:bookmarkEnd w:id="9"/>
      </w:hyperlink>
      <w:r w:rsidR="004F34A4">
        <w:rPr>
          <w:rFonts w:ascii="Times New Roman" w:eastAsia="SimSun" w:hAnsi="Times New Roman" w:cs="Times New Roman"/>
          <w:sz w:val="24"/>
        </w:rPr>
        <w:t>.</w:t>
      </w:r>
    </w:p>
    <w:p w14:paraId="5574C40F" w14:textId="2F3CC8FB" w:rsidR="00B5059A" w:rsidRDefault="00000000" w:rsidP="00F45F33">
      <w:pPr>
        <w:spacing w:line="360" w:lineRule="auto"/>
        <w:ind w:left="697" w:hanging="697"/>
        <w:rPr>
          <w:rFonts w:ascii="Times New Roman" w:eastAsia="SimSun" w:hAnsi="Times New Roman" w:cs="Times New Roman"/>
          <w:sz w:val="24"/>
        </w:rPr>
      </w:pPr>
      <w:r>
        <w:rPr>
          <w:rFonts w:ascii="Times New Roman" w:eastAsia="SimSun" w:hAnsi="Times New Roman" w:cs="Times New Roman"/>
          <w:sz w:val="24"/>
        </w:rPr>
        <w:t>WHO (2018) WHO ambient (outdoor) air quality database Summary results, update 2018</w:t>
      </w:r>
      <w:r w:rsidR="004F34A4">
        <w:rPr>
          <w:rFonts w:ascii="Times New Roman" w:eastAsia="SimSun" w:hAnsi="Times New Roman" w:cs="Times New Roman"/>
          <w:sz w:val="24"/>
        </w:rPr>
        <w:t>.</w:t>
      </w:r>
      <w:r w:rsidR="005F77AE" w:rsidRPr="005F77AE">
        <w:t xml:space="preserve"> </w:t>
      </w:r>
      <w:r w:rsidR="005F77AE" w:rsidRPr="005F77AE">
        <w:rPr>
          <w:rFonts w:ascii="Times New Roman" w:eastAsia="SimSun" w:hAnsi="Times New Roman" w:cs="Times New Roman"/>
          <w:sz w:val="24"/>
        </w:rPr>
        <w:t>https://cdn.who.int/media/docs/default-source/air-quality-database/aqd-2018/aap_database_summary_results_2018_final2.pdf?sfvrsn=7b92eafc_3</w:t>
      </w:r>
      <w:r w:rsidR="004F34A4">
        <w:rPr>
          <w:rFonts w:ascii="Times New Roman" w:eastAsia="SimSun" w:hAnsi="Times New Roman" w:cs="Times New Roman"/>
          <w:sz w:val="24"/>
        </w:rPr>
        <w:t>. Accessed 15 May 2023.</w:t>
      </w:r>
    </w:p>
    <w:p w14:paraId="796B08BC" w14:textId="43C9F9E5" w:rsidR="00B5059A" w:rsidRDefault="00B5059A">
      <w:pPr>
        <w:spacing w:line="360" w:lineRule="auto"/>
        <w:ind w:left="697" w:hanging="697"/>
        <w:jc w:val="left"/>
        <w:rPr>
          <w:rFonts w:ascii="Times New Roman" w:eastAsia="SimSun" w:hAnsi="Times New Roman" w:cs="Times New Roman"/>
          <w:sz w:val="24"/>
        </w:rPr>
      </w:pPr>
    </w:p>
    <w:p w14:paraId="1A3B0750" w14:textId="77777777" w:rsidR="00B5059A" w:rsidRDefault="00B5059A">
      <w:pPr>
        <w:spacing w:line="360" w:lineRule="auto"/>
        <w:ind w:firstLine="720"/>
        <w:jc w:val="left"/>
        <w:rPr>
          <w:rFonts w:ascii="Times New Roman" w:hAnsi="Times New Roman" w:cs="Times New Roman"/>
        </w:rPr>
      </w:pPr>
    </w:p>
    <w:p w14:paraId="65945B02" w14:textId="77777777" w:rsidR="00B5059A" w:rsidRDefault="00B5059A">
      <w:pPr>
        <w:spacing w:line="360" w:lineRule="auto"/>
        <w:ind w:left="720" w:hanging="720"/>
        <w:rPr>
          <w:rFonts w:ascii="Times New Roman" w:hAnsi="Times New Roman" w:cs="Times New Roman"/>
          <w:lang w:val="en-GB"/>
        </w:rPr>
      </w:pPr>
    </w:p>
    <w:p w14:paraId="0774387E" w14:textId="77777777" w:rsidR="00B5059A" w:rsidRDefault="00B5059A">
      <w:pPr>
        <w:spacing w:line="360" w:lineRule="auto"/>
        <w:rPr>
          <w:rFonts w:ascii="Times New Roman" w:eastAsia="SimSun" w:hAnsi="Times New Roman" w:cs="Times New Roman"/>
          <w:sz w:val="24"/>
        </w:rPr>
      </w:pPr>
    </w:p>
    <w:p w14:paraId="10A7E84F" w14:textId="77777777" w:rsidR="00B5059A" w:rsidRDefault="00B5059A">
      <w:pPr>
        <w:spacing w:line="360" w:lineRule="auto"/>
        <w:rPr>
          <w:rFonts w:ascii="Times New Roman" w:eastAsia="SimSun" w:hAnsi="Times New Roman" w:cs="Times New Roman"/>
          <w:sz w:val="24"/>
        </w:rPr>
      </w:pPr>
    </w:p>
    <w:p w14:paraId="1487CA76" w14:textId="77777777" w:rsidR="00B5059A" w:rsidRDefault="00B5059A">
      <w:pPr>
        <w:spacing w:line="360" w:lineRule="auto"/>
        <w:rPr>
          <w:rFonts w:ascii="Times New Roman" w:eastAsia="SimSun" w:hAnsi="Times New Roman" w:cs="Times New Roman"/>
          <w:sz w:val="24"/>
        </w:rPr>
      </w:pPr>
    </w:p>
    <w:p w14:paraId="386EC757" w14:textId="77777777" w:rsidR="00B5059A" w:rsidRDefault="00B5059A">
      <w:pPr>
        <w:spacing w:line="360" w:lineRule="auto"/>
        <w:rPr>
          <w:rFonts w:ascii="Times New Roman" w:eastAsia="SimSun" w:hAnsi="Times New Roman" w:cs="Times New Roman"/>
          <w:sz w:val="24"/>
        </w:rPr>
      </w:pPr>
    </w:p>
    <w:p w14:paraId="0CE23079" w14:textId="77777777" w:rsidR="00B5059A" w:rsidRDefault="00B5059A">
      <w:pPr>
        <w:rPr>
          <w:rFonts w:ascii="Times New Roman" w:hAnsi="Times New Roman" w:cs="Times New Roman"/>
          <w:sz w:val="24"/>
        </w:rPr>
      </w:pPr>
    </w:p>
    <w:sectPr w:rsidR="00B505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0C470" w14:textId="77777777" w:rsidR="00A12AF3" w:rsidRDefault="00A12AF3" w:rsidP="001A38D9">
      <w:r>
        <w:separator/>
      </w:r>
    </w:p>
  </w:endnote>
  <w:endnote w:type="continuationSeparator" w:id="0">
    <w:p w14:paraId="77C346FA" w14:textId="77777777" w:rsidR="00A12AF3" w:rsidRDefault="00A12AF3" w:rsidP="001A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70BA5" w14:textId="77777777" w:rsidR="00A12AF3" w:rsidRDefault="00A12AF3" w:rsidP="001A38D9">
      <w:r>
        <w:separator/>
      </w:r>
    </w:p>
  </w:footnote>
  <w:footnote w:type="continuationSeparator" w:id="0">
    <w:p w14:paraId="1E8E286D" w14:textId="77777777" w:rsidR="00A12AF3" w:rsidRDefault="00A12AF3" w:rsidP="001A3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F6216"/>
    <w:multiLevelType w:val="multilevel"/>
    <w:tmpl w:val="786E7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7497F40"/>
    <w:multiLevelType w:val="multilevel"/>
    <w:tmpl w:val="47497F4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53A5980"/>
    <w:multiLevelType w:val="multilevel"/>
    <w:tmpl w:val="AB40242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16026800">
    <w:abstractNumId w:val="1"/>
  </w:num>
  <w:num w:numId="2" w16cid:durableId="1910383381">
    <w:abstractNumId w:val="0"/>
  </w:num>
  <w:num w:numId="3" w16cid:durableId="1662464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gATZuaG5paWJhZKOkrBqcXFmfl5IAWGRrUAYKpqTi0AAAA="/>
    <w:docVar w:name="commondata" w:val="eyJoZGlkIjoiNjZhMjdkMTg5NjcwNGFkMDBjMWFjZGQyZGFmZmQ2NzIifQ=="/>
  </w:docVars>
  <w:rsids>
    <w:rsidRoot w:val="00671EE2"/>
    <w:rsid w:val="000D39A6"/>
    <w:rsid w:val="0014063B"/>
    <w:rsid w:val="001A38D9"/>
    <w:rsid w:val="0032037C"/>
    <w:rsid w:val="00361D57"/>
    <w:rsid w:val="00366C3E"/>
    <w:rsid w:val="003B1728"/>
    <w:rsid w:val="003E2825"/>
    <w:rsid w:val="003F72CC"/>
    <w:rsid w:val="00463FA9"/>
    <w:rsid w:val="004C7068"/>
    <w:rsid w:val="004F34A4"/>
    <w:rsid w:val="0056753C"/>
    <w:rsid w:val="005B2D44"/>
    <w:rsid w:val="005C255E"/>
    <w:rsid w:val="005E1CC9"/>
    <w:rsid w:val="005F77AE"/>
    <w:rsid w:val="00615A89"/>
    <w:rsid w:val="00671EE2"/>
    <w:rsid w:val="006B5FED"/>
    <w:rsid w:val="006F2199"/>
    <w:rsid w:val="00754DCD"/>
    <w:rsid w:val="00774EC9"/>
    <w:rsid w:val="00875524"/>
    <w:rsid w:val="0088468F"/>
    <w:rsid w:val="008C4B58"/>
    <w:rsid w:val="008E2AB6"/>
    <w:rsid w:val="008F2EF1"/>
    <w:rsid w:val="009270D5"/>
    <w:rsid w:val="0093216B"/>
    <w:rsid w:val="00934829"/>
    <w:rsid w:val="009460F2"/>
    <w:rsid w:val="009669B9"/>
    <w:rsid w:val="009852FC"/>
    <w:rsid w:val="009A4B66"/>
    <w:rsid w:val="009B7B27"/>
    <w:rsid w:val="009D5E39"/>
    <w:rsid w:val="00A12AF3"/>
    <w:rsid w:val="00A431C6"/>
    <w:rsid w:val="00AD5280"/>
    <w:rsid w:val="00AE0290"/>
    <w:rsid w:val="00B10F90"/>
    <w:rsid w:val="00B5059A"/>
    <w:rsid w:val="00B5509A"/>
    <w:rsid w:val="00BB18A7"/>
    <w:rsid w:val="00BF0CC2"/>
    <w:rsid w:val="00CA18B9"/>
    <w:rsid w:val="00CB5CAE"/>
    <w:rsid w:val="00CE26D4"/>
    <w:rsid w:val="00D30D3D"/>
    <w:rsid w:val="00D81B12"/>
    <w:rsid w:val="00DF5AEA"/>
    <w:rsid w:val="00E164B2"/>
    <w:rsid w:val="00E1794E"/>
    <w:rsid w:val="00E30FE2"/>
    <w:rsid w:val="00E37B1C"/>
    <w:rsid w:val="00E84106"/>
    <w:rsid w:val="00EF664B"/>
    <w:rsid w:val="00EF75C0"/>
    <w:rsid w:val="00F04DB7"/>
    <w:rsid w:val="00F45F33"/>
    <w:rsid w:val="00F50590"/>
    <w:rsid w:val="00F7535B"/>
    <w:rsid w:val="00F915F8"/>
    <w:rsid w:val="00FC668D"/>
    <w:rsid w:val="00FE4DC1"/>
    <w:rsid w:val="00FF14AD"/>
    <w:rsid w:val="01B14C06"/>
    <w:rsid w:val="022D1F43"/>
    <w:rsid w:val="037D35A4"/>
    <w:rsid w:val="04003C23"/>
    <w:rsid w:val="04702B56"/>
    <w:rsid w:val="053578FC"/>
    <w:rsid w:val="071719AF"/>
    <w:rsid w:val="07ED44BE"/>
    <w:rsid w:val="08D15B8E"/>
    <w:rsid w:val="09CD45A7"/>
    <w:rsid w:val="0BF202F5"/>
    <w:rsid w:val="0CEE6D0E"/>
    <w:rsid w:val="0E3966AF"/>
    <w:rsid w:val="101822F4"/>
    <w:rsid w:val="10E741A0"/>
    <w:rsid w:val="10FC5772"/>
    <w:rsid w:val="12527D3F"/>
    <w:rsid w:val="12EF37E0"/>
    <w:rsid w:val="16C94348"/>
    <w:rsid w:val="1820443C"/>
    <w:rsid w:val="184E2036"/>
    <w:rsid w:val="18866995"/>
    <w:rsid w:val="194F6D87"/>
    <w:rsid w:val="1BA333BA"/>
    <w:rsid w:val="1C4C2A08"/>
    <w:rsid w:val="1D1A76AB"/>
    <w:rsid w:val="1EBB0A1A"/>
    <w:rsid w:val="1ED41ADC"/>
    <w:rsid w:val="20651585"/>
    <w:rsid w:val="224C47AB"/>
    <w:rsid w:val="224F6049"/>
    <w:rsid w:val="22525B39"/>
    <w:rsid w:val="23111551"/>
    <w:rsid w:val="256C2A6E"/>
    <w:rsid w:val="26347A30"/>
    <w:rsid w:val="267C4F33"/>
    <w:rsid w:val="26D81C86"/>
    <w:rsid w:val="27AB3D22"/>
    <w:rsid w:val="29BA46F0"/>
    <w:rsid w:val="2B795EE5"/>
    <w:rsid w:val="2D2D361C"/>
    <w:rsid w:val="2DC01BA9"/>
    <w:rsid w:val="2FE029D7"/>
    <w:rsid w:val="30410426"/>
    <w:rsid w:val="321626E0"/>
    <w:rsid w:val="32E12CEE"/>
    <w:rsid w:val="348C6C89"/>
    <w:rsid w:val="35521C81"/>
    <w:rsid w:val="36B3592B"/>
    <w:rsid w:val="36C739BA"/>
    <w:rsid w:val="373D24BC"/>
    <w:rsid w:val="37CD3840"/>
    <w:rsid w:val="38D34E86"/>
    <w:rsid w:val="39CD3FCC"/>
    <w:rsid w:val="3CE77152"/>
    <w:rsid w:val="3F823162"/>
    <w:rsid w:val="4024246B"/>
    <w:rsid w:val="412C184A"/>
    <w:rsid w:val="419453CF"/>
    <w:rsid w:val="41DA3747"/>
    <w:rsid w:val="425F3C2F"/>
    <w:rsid w:val="42D55C9F"/>
    <w:rsid w:val="42E67EAC"/>
    <w:rsid w:val="43F87E97"/>
    <w:rsid w:val="44B444F2"/>
    <w:rsid w:val="44D81A76"/>
    <w:rsid w:val="454B049A"/>
    <w:rsid w:val="45C36283"/>
    <w:rsid w:val="46236D21"/>
    <w:rsid w:val="4820176A"/>
    <w:rsid w:val="4A143171"/>
    <w:rsid w:val="4B3B68BB"/>
    <w:rsid w:val="4ED67027"/>
    <w:rsid w:val="4FBA06F6"/>
    <w:rsid w:val="4FF736F9"/>
    <w:rsid w:val="506704E1"/>
    <w:rsid w:val="517843C5"/>
    <w:rsid w:val="524D7600"/>
    <w:rsid w:val="54B859B7"/>
    <w:rsid w:val="554F18E1"/>
    <w:rsid w:val="55C900EC"/>
    <w:rsid w:val="56156687"/>
    <w:rsid w:val="566B62A7"/>
    <w:rsid w:val="576D24F2"/>
    <w:rsid w:val="58030761"/>
    <w:rsid w:val="59E56370"/>
    <w:rsid w:val="59FE7432"/>
    <w:rsid w:val="5AA47FD9"/>
    <w:rsid w:val="5B5D1AF7"/>
    <w:rsid w:val="5D215911"/>
    <w:rsid w:val="5F103E8F"/>
    <w:rsid w:val="5F1F2324"/>
    <w:rsid w:val="6424218B"/>
    <w:rsid w:val="663743F7"/>
    <w:rsid w:val="666F3B91"/>
    <w:rsid w:val="67CA2293"/>
    <w:rsid w:val="67EE1719"/>
    <w:rsid w:val="692F585A"/>
    <w:rsid w:val="6A8D2838"/>
    <w:rsid w:val="6B560E7C"/>
    <w:rsid w:val="6B5B0B88"/>
    <w:rsid w:val="6C313697"/>
    <w:rsid w:val="6CF21078"/>
    <w:rsid w:val="6D714693"/>
    <w:rsid w:val="6DD8026E"/>
    <w:rsid w:val="6E072901"/>
    <w:rsid w:val="70BD7BEF"/>
    <w:rsid w:val="71265794"/>
    <w:rsid w:val="71A14E1B"/>
    <w:rsid w:val="71E825F3"/>
    <w:rsid w:val="72712A3F"/>
    <w:rsid w:val="75256A96"/>
    <w:rsid w:val="75EB2B08"/>
    <w:rsid w:val="761A7869"/>
    <w:rsid w:val="7625601A"/>
    <w:rsid w:val="76625446"/>
    <w:rsid w:val="76870A83"/>
    <w:rsid w:val="7718792D"/>
    <w:rsid w:val="781A344B"/>
    <w:rsid w:val="781E71C5"/>
    <w:rsid w:val="7826607A"/>
    <w:rsid w:val="7AEA338E"/>
    <w:rsid w:val="7DCF4ABD"/>
    <w:rsid w:val="7E521976"/>
    <w:rsid w:val="7E8F2BCB"/>
    <w:rsid w:val="7FE96D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00BCF"/>
  <w15:docId w15:val="{DC6623DD-B83E-4B61-A833-9729F457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ajorEastAsia" w:hAnsiTheme="minorHAnsi" w:cstheme="minorBidi"/>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Pr>
      <w:rFonts w:asciiTheme="majorHAnsi" w:eastAsia="SimHei" w:hAnsiTheme="majorHAnsi" w:cstheme="majorBidi"/>
      <w:sz w:val="20"/>
      <w:szCs w:val="20"/>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paragraph" w:customStyle="1" w:styleId="Default">
    <w:name w:val="Default"/>
    <w:qFormat/>
    <w:pPr>
      <w:autoSpaceDE w:val="0"/>
      <w:autoSpaceDN w:val="0"/>
    </w:pPr>
    <w:rPr>
      <w:rFonts w:ascii="Book Antiqua" w:eastAsia="Times New Roman" w:hAnsi="Book Antiqua" w:cs="Book Antiqua"/>
      <w:color w:val="000000"/>
      <w:sz w:val="24"/>
      <w:szCs w:val="24"/>
      <w:lang w:eastAsia="en-US"/>
    </w:rPr>
  </w:style>
  <w:style w:type="paragraph" w:customStyle="1" w:styleId="EndNoteBibliography">
    <w:name w:val="EndNote Bibliography"/>
    <w:basedOn w:val="Normal"/>
    <w:qFormat/>
  </w:style>
  <w:style w:type="character" w:customStyle="1" w:styleId="CommentTextChar">
    <w:name w:val="Comment Text Char"/>
    <w:basedOn w:val="DefaultParagraphFont"/>
    <w:link w:val="CommentText"/>
    <w:uiPriority w:val="99"/>
    <w:rPr>
      <w:rFonts w:asciiTheme="minorHAnsi" w:eastAsiaTheme="majorEastAsia" w:hAnsiTheme="minorHAnsi" w:cstheme="minorBidi"/>
      <w:kern w:val="2"/>
      <w:lang w:val="en-US"/>
    </w:rPr>
  </w:style>
  <w:style w:type="character" w:customStyle="1" w:styleId="CommentSubjectChar">
    <w:name w:val="Comment Subject Char"/>
    <w:basedOn w:val="CommentTextChar"/>
    <w:link w:val="CommentSubject"/>
    <w:uiPriority w:val="99"/>
    <w:semiHidden/>
    <w:qFormat/>
    <w:rPr>
      <w:rFonts w:asciiTheme="minorHAnsi" w:eastAsiaTheme="majorEastAsia" w:hAnsiTheme="minorHAnsi" w:cstheme="minorBidi"/>
      <w:b/>
      <w:bCs/>
      <w:kern w:val="2"/>
      <w:lang w:val="en-US"/>
    </w:rPr>
  </w:style>
  <w:style w:type="paragraph" w:customStyle="1" w:styleId="Revision1">
    <w:name w:val="Revision1"/>
    <w:hidden/>
    <w:uiPriority w:val="99"/>
    <w:semiHidden/>
    <w:qFormat/>
    <w:rPr>
      <w:rFonts w:asciiTheme="minorHAnsi" w:eastAsiaTheme="majorEastAsia" w:hAnsiTheme="minorHAnsi" w:cstheme="minorBidi"/>
      <w:kern w:val="2"/>
      <w:sz w:val="21"/>
      <w:szCs w:val="24"/>
      <w:lang w:val="en-US"/>
    </w:rPr>
  </w:style>
  <w:style w:type="paragraph" w:styleId="Revision">
    <w:name w:val="Revision"/>
    <w:hidden/>
    <w:uiPriority w:val="99"/>
    <w:semiHidden/>
    <w:rsid w:val="00E30FE2"/>
    <w:rPr>
      <w:rFonts w:asciiTheme="minorHAnsi" w:eastAsiaTheme="majorEastAsia" w:hAnsiTheme="minorHAnsi" w:cstheme="minorBidi"/>
      <w:kern w:val="2"/>
      <w:sz w:val="21"/>
      <w:szCs w:val="24"/>
      <w:lang w:val="en-US"/>
    </w:rPr>
  </w:style>
  <w:style w:type="character" w:styleId="UnresolvedMention">
    <w:name w:val="Unresolved Mention"/>
    <w:basedOn w:val="DefaultParagraphFont"/>
    <w:uiPriority w:val="99"/>
    <w:semiHidden/>
    <w:unhideWhenUsed/>
    <w:rsid w:val="006F2199"/>
    <w:rPr>
      <w:color w:val="605E5C"/>
      <w:shd w:val="clear" w:color="auto" w:fill="E1DFDD"/>
    </w:rPr>
  </w:style>
  <w:style w:type="character" w:customStyle="1" w:styleId="anchor-text">
    <w:name w:val="anchor-text"/>
    <w:basedOn w:val="DefaultParagraphFont"/>
    <w:rsid w:val="0056753C"/>
  </w:style>
  <w:style w:type="paragraph" w:styleId="Header">
    <w:name w:val="header"/>
    <w:basedOn w:val="Normal"/>
    <w:link w:val="HeaderChar"/>
    <w:uiPriority w:val="99"/>
    <w:unhideWhenUsed/>
    <w:rsid w:val="001A38D9"/>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A38D9"/>
    <w:rPr>
      <w:rFonts w:asciiTheme="minorHAnsi" w:eastAsiaTheme="majorEastAsia" w:hAnsiTheme="minorHAnsi" w:cstheme="minorBidi"/>
      <w:kern w:val="2"/>
      <w:sz w:val="18"/>
      <w:szCs w:val="18"/>
      <w:lang w:val="en-US"/>
    </w:rPr>
  </w:style>
  <w:style w:type="paragraph" w:styleId="Footer">
    <w:name w:val="footer"/>
    <w:basedOn w:val="Normal"/>
    <w:link w:val="FooterChar"/>
    <w:uiPriority w:val="99"/>
    <w:unhideWhenUsed/>
    <w:rsid w:val="001A38D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A38D9"/>
    <w:rPr>
      <w:rFonts w:asciiTheme="minorHAnsi" w:eastAsiaTheme="majorEastAsia" w:hAnsiTheme="minorHAnsi" w:cstheme="minorBidi"/>
      <w:kern w:val="2"/>
      <w:sz w:val="18"/>
      <w:szCs w:val="18"/>
      <w:lang w:val="en-US"/>
    </w:rPr>
  </w:style>
  <w:style w:type="character" w:styleId="FollowedHyperlink">
    <w:name w:val="FollowedHyperlink"/>
    <w:basedOn w:val="DefaultParagraphFont"/>
    <w:uiPriority w:val="99"/>
    <w:semiHidden/>
    <w:unhideWhenUsed/>
    <w:rsid w:val="005F77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ueshu.baidu.com/s?wd=author:(JH%20Seinfeld)%20&amp;tn=SE_baiduxueshu_c1gjeupa&amp;ie=utf-8&amp;sc_f_para=sc_hilight=person" TargetMode="External"/><Relationship Id="rId13" Type="http://schemas.openxmlformats.org/officeDocument/2006/relationships/hyperlink" Target="http://doi.org/10.1016/j.slsci.2014.11.003" TargetMode="External"/><Relationship Id="rId18" Type="http://schemas.openxmlformats.org/officeDocument/2006/relationships/hyperlink" Target="https://doi.org/10.1016/j.jacc.2017.12.015" TargetMode="External"/><Relationship Id="rId3" Type="http://schemas.openxmlformats.org/officeDocument/2006/relationships/settings" Target="settings.xml"/><Relationship Id="rId21" Type="http://schemas.openxmlformats.org/officeDocument/2006/relationships/hyperlink" Target="https://www.who.int/news-room/fact-sheets/detail/climate-change-heat-and-health" TargetMode="External"/><Relationship Id="rId7" Type="http://schemas.openxmlformats.org/officeDocument/2006/relationships/image" Target="media/image1.png"/><Relationship Id="rId12" Type="http://schemas.openxmlformats.org/officeDocument/2006/relationships/hyperlink" Target="https://doi.org/10.1890/120183" TargetMode="External"/><Relationship Id="rId17" Type="http://schemas.openxmlformats.org/officeDocument/2006/relationships/hyperlink" Target="https://doi.org/10.1093/eurheartj/ehu03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pcc.ch/sr15/" TargetMode="External"/><Relationship Id="rId20" Type="http://schemas.openxmlformats.org/officeDocument/2006/relationships/hyperlink" Target="https://www.gov.uk/government/publications/phe-heatwave-mortality-monitoring/heatwave-mortality-monitoring-report-20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800/68624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16/j.uclim.2018.12.014" TargetMode="External"/><Relationship Id="rId23" Type="http://schemas.openxmlformats.org/officeDocument/2006/relationships/hyperlink" Target="https://www.who.int/publications/m/item/heatwaves-and-health--guidance-on-warning-system-development" TargetMode="External"/><Relationship Id="rId10" Type="http://schemas.openxmlformats.org/officeDocument/2006/relationships/hyperlink" Target="https://www.undrr.org/publication/economic-losses-poverty-disasters-1998-2017" TargetMode="External"/><Relationship Id="rId19" Type="http://schemas.openxmlformats.org/officeDocument/2006/relationships/hyperlink" Target="https://doi.org/10.1016/j.scitotenv.2017.08.06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i.org/10.1016/j.rser.2022.112350" TargetMode="External"/><Relationship Id="rId22" Type="http://schemas.openxmlformats.org/officeDocument/2006/relationships/hyperlink" Target="https://library.wmo.int/index.php?lvl=notice_display&amp;id=219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5431</Words>
  <Characters>33570</Characters>
  <Application>Microsoft Office Word</Application>
  <DocSecurity>0</DocSecurity>
  <Lines>610</Lines>
  <Paragraphs>224</Paragraphs>
  <ScaleCrop>false</ScaleCrop>
  <Company/>
  <LinksUpToDate>false</LinksUpToDate>
  <CharactersWithSpaces>38777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Runming Yao</dc:creator>
  <cp:lastModifiedBy>Yao</cp:lastModifiedBy>
  <cp:revision>13</cp:revision>
  <dcterms:created xsi:type="dcterms:W3CDTF">2023-05-29T02:53:00Z</dcterms:created>
  <dcterms:modified xsi:type="dcterms:W3CDTF">2025-02-07T20:39:00Z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70bd2a8b-0939-477f-b899-b88b4eb4e666</vt:lpwstr>
  </property>
  <property fmtid="{D5CDD505-2E9C-101B-9397-08002B2CF9AE}" pid="3" name="KSOProductBuildVer">
    <vt:lpwstr>2052-11.1.0.14036</vt:lpwstr>
  </property>
  <property fmtid="{D5CDD505-2E9C-101B-9397-08002B2CF9AE}" pid="4" name="ICV">
    <vt:lpwstr>4FB23F7DE782455FB907DB3F8392B80C_13</vt:lpwstr>
  </property>
</Properties>
</file>